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548"/>
        <w:gridCol w:w="2179"/>
        <w:gridCol w:w="8930"/>
      </w:tblGrid>
      <w:tr w:rsidR="00AA272E" w:rsidRPr="00AA272E" w14:paraId="0051C692" w14:textId="77777777" w:rsidTr="00AA272E">
        <w:trPr>
          <w:trHeight w:val="315"/>
        </w:trPr>
        <w:tc>
          <w:tcPr>
            <w:tcW w:w="5098" w:type="dxa"/>
            <w:gridSpan w:val="3"/>
            <w:shd w:val="clear" w:color="000000" w:fill="BDD6EE"/>
            <w:vAlign w:val="center"/>
            <w:hideMark/>
          </w:tcPr>
          <w:p w14:paraId="723D98E2" w14:textId="77777777" w:rsidR="00AA272E" w:rsidRPr="00AA272E" w:rsidRDefault="00AA272E" w:rsidP="00AA272E">
            <w:pPr>
              <w:spacing w:after="0" w:line="240" w:lineRule="auto"/>
              <w:jc w:val="center"/>
              <w:rPr>
                <w:rFonts w:ascii="Calibri" w:eastAsia="Times New Roman" w:hAnsi="Calibri" w:cs="Calibri"/>
                <w:b/>
                <w:bCs/>
                <w:color w:val="000000"/>
                <w:kern w:val="0"/>
                <w:sz w:val="20"/>
                <w:szCs w:val="20"/>
                <w:lang w:eastAsia="en-GB"/>
                <w14:ligatures w14:val="none"/>
              </w:rPr>
            </w:pPr>
            <w:r w:rsidRPr="00AA272E">
              <w:rPr>
                <w:rFonts w:ascii="Calibri" w:eastAsia="Times New Roman" w:hAnsi="Calibri" w:cs="Calibri"/>
                <w:b/>
                <w:bCs/>
                <w:color w:val="000000"/>
                <w:kern w:val="0"/>
                <w:sz w:val="20"/>
                <w:szCs w:val="20"/>
                <w:lang w:eastAsia="en-GB"/>
                <w14:ligatures w14:val="none"/>
              </w:rPr>
              <w:t>BOSNIA AND HERZEGOVINA</w:t>
            </w:r>
          </w:p>
        </w:tc>
        <w:tc>
          <w:tcPr>
            <w:tcW w:w="8930" w:type="dxa"/>
            <w:shd w:val="clear" w:color="000000" w:fill="BDD6EE"/>
            <w:vAlign w:val="center"/>
            <w:hideMark/>
          </w:tcPr>
          <w:p w14:paraId="401F000D" w14:textId="77777777" w:rsidR="00AA272E" w:rsidRPr="00AA272E" w:rsidRDefault="00AA272E" w:rsidP="00AA272E">
            <w:pPr>
              <w:spacing w:after="0" w:line="240" w:lineRule="auto"/>
              <w:jc w:val="center"/>
              <w:rPr>
                <w:rFonts w:ascii="Calibri" w:eastAsia="Times New Roman" w:hAnsi="Calibri" w:cs="Calibri"/>
                <w:b/>
                <w:bCs/>
                <w:color w:val="000000"/>
                <w:kern w:val="0"/>
                <w:sz w:val="20"/>
                <w:szCs w:val="20"/>
                <w:lang w:eastAsia="en-GB"/>
                <w14:ligatures w14:val="none"/>
              </w:rPr>
            </w:pPr>
            <w:r w:rsidRPr="00AA272E">
              <w:rPr>
                <w:rFonts w:ascii="Calibri" w:eastAsia="Times New Roman" w:hAnsi="Calibri" w:cs="Calibri"/>
                <w:b/>
                <w:bCs/>
                <w:color w:val="000000"/>
                <w:kern w:val="0"/>
                <w:sz w:val="20"/>
                <w:szCs w:val="20"/>
                <w:lang w:eastAsia="en-GB"/>
                <w14:ligatures w14:val="none"/>
              </w:rPr>
              <w:t> </w:t>
            </w:r>
          </w:p>
        </w:tc>
      </w:tr>
      <w:tr w:rsidR="00AA272E" w:rsidRPr="00AA272E" w14:paraId="6A0A98CF" w14:textId="77777777" w:rsidTr="00AA272E">
        <w:trPr>
          <w:trHeight w:val="408"/>
        </w:trPr>
        <w:tc>
          <w:tcPr>
            <w:tcW w:w="1371" w:type="dxa"/>
            <w:vMerge w:val="restart"/>
            <w:shd w:val="clear" w:color="000000" w:fill="BDD6EE"/>
            <w:vAlign w:val="center"/>
            <w:hideMark/>
          </w:tcPr>
          <w:p w14:paraId="5C3B8C54"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r w:rsidRPr="00AA272E">
              <w:rPr>
                <w:rFonts w:ascii="Calibri" w:eastAsia="Times New Roman" w:hAnsi="Calibri" w:cs="Calibri"/>
                <w:b/>
                <w:bCs/>
                <w:color w:val="000000"/>
                <w:kern w:val="0"/>
                <w:sz w:val="20"/>
                <w:szCs w:val="20"/>
                <w:lang w:eastAsia="en-GB"/>
                <w14:ligatures w14:val="none"/>
              </w:rPr>
              <w:t>Policy area</w:t>
            </w:r>
          </w:p>
        </w:tc>
        <w:tc>
          <w:tcPr>
            <w:tcW w:w="1548" w:type="dxa"/>
            <w:vMerge w:val="restart"/>
            <w:shd w:val="clear" w:color="000000" w:fill="BDD6EE"/>
            <w:vAlign w:val="center"/>
            <w:hideMark/>
          </w:tcPr>
          <w:p w14:paraId="738362AF"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r w:rsidRPr="00AA272E">
              <w:rPr>
                <w:rFonts w:ascii="Calibri" w:eastAsia="Times New Roman" w:hAnsi="Calibri" w:cs="Calibri"/>
                <w:b/>
                <w:bCs/>
                <w:color w:val="000000"/>
                <w:kern w:val="0"/>
                <w:sz w:val="20"/>
                <w:szCs w:val="20"/>
                <w:lang w:eastAsia="en-GB"/>
                <w14:ligatures w14:val="none"/>
              </w:rPr>
              <w:t>Component</w:t>
            </w:r>
            <w:proofErr w:type="gramStart"/>
            <w:r w:rsidRPr="00AA272E">
              <w:rPr>
                <w:rFonts w:ascii="Calibri" w:eastAsia="Times New Roman" w:hAnsi="Calibri" w:cs="Calibri"/>
                <w:color w:val="000000"/>
                <w:kern w:val="0"/>
                <w:sz w:val="20"/>
                <w:szCs w:val="20"/>
                <w:lang w:eastAsia="en-GB"/>
                <w14:ligatures w14:val="none"/>
              </w:rPr>
              <w:t xml:space="preserve">   </w:t>
            </w:r>
            <w:r w:rsidRPr="00AA272E">
              <w:rPr>
                <w:rFonts w:ascii="Calibri" w:eastAsia="Times New Roman" w:hAnsi="Calibri" w:cs="Calibri"/>
                <w:b/>
                <w:bCs/>
                <w:color w:val="000000"/>
                <w:kern w:val="0"/>
                <w:sz w:val="20"/>
                <w:szCs w:val="20"/>
                <w:lang w:eastAsia="en-GB"/>
                <w14:ligatures w14:val="none"/>
              </w:rPr>
              <w:t>(</w:t>
            </w:r>
            <w:proofErr w:type="gramEnd"/>
            <w:r w:rsidRPr="00AA272E">
              <w:rPr>
                <w:rFonts w:ascii="Calibri" w:eastAsia="Times New Roman" w:hAnsi="Calibri" w:cs="Calibri"/>
                <w:b/>
                <w:bCs/>
                <w:color w:val="000000"/>
                <w:kern w:val="0"/>
                <w:sz w:val="20"/>
                <w:szCs w:val="20"/>
                <w:lang w:eastAsia="en-GB"/>
                <w14:ligatures w14:val="none"/>
              </w:rPr>
              <w:t>sector)</w:t>
            </w:r>
            <w:r w:rsidRPr="00AA272E">
              <w:rPr>
                <w:rFonts w:ascii="Calibri" w:eastAsia="Times New Roman" w:hAnsi="Calibri" w:cs="Calibri"/>
                <w:color w:val="000000"/>
                <w:kern w:val="0"/>
                <w:sz w:val="20"/>
                <w:szCs w:val="20"/>
                <w:lang w:eastAsia="en-GB"/>
                <w14:ligatures w14:val="none"/>
              </w:rPr>
              <w:t xml:space="preserve"> </w:t>
            </w:r>
          </w:p>
        </w:tc>
        <w:tc>
          <w:tcPr>
            <w:tcW w:w="2179" w:type="dxa"/>
            <w:vMerge w:val="restart"/>
            <w:shd w:val="clear" w:color="000000" w:fill="BDD6EE"/>
            <w:vAlign w:val="center"/>
            <w:hideMark/>
          </w:tcPr>
          <w:p w14:paraId="126DB895"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r w:rsidRPr="00AA272E">
              <w:rPr>
                <w:rFonts w:ascii="Calibri" w:eastAsia="Times New Roman" w:hAnsi="Calibri" w:cs="Calibri"/>
                <w:b/>
                <w:bCs/>
                <w:color w:val="000000"/>
                <w:kern w:val="0"/>
                <w:sz w:val="20"/>
                <w:szCs w:val="20"/>
                <w:lang w:eastAsia="en-GB"/>
                <w14:ligatures w14:val="none"/>
              </w:rPr>
              <w:t>Indicative Reforms</w:t>
            </w:r>
          </w:p>
        </w:tc>
        <w:tc>
          <w:tcPr>
            <w:tcW w:w="8930" w:type="dxa"/>
            <w:vMerge w:val="restart"/>
            <w:shd w:val="clear" w:color="000000" w:fill="BDD6EE"/>
            <w:vAlign w:val="center"/>
            <w:hideMark/>
          </w:tcPr>
          <w:p w14:paraId="164ED9EA" w14:textId="77777777" w:rsidR="00AA272E" w:rsidRPr="00AA272E" w:rsidRDefault="00AA272E" w:rsidP="00AA272E">
            <w:pPr>
              <w:spacing w:after="0" w:line="240" w:lineRule="auto"/>
              <w:jc w:val="center"/>
              <w:rPr>
                <w:rFonts w:ascii="Calibri" w:eastAsia="Times New Roman" w:hAnsi="Calibri" w:cs="Calibri"/>
                <w:b/>
                <w:bCs/>
                <w:color w:val="000000"/>
                <w:kern w:val="0"/>
                <w:sz w:val="20"/>
                <w:szCs w:val="20"/>
                <w:lang w:eastAsia="en-GB"/>
                <w14:ligatures w14:val="none"/>
              </w:rPr>
            </w:pPr>
            <w:r w:rsidRPr="00AA272E">
              <w:rPr>
                <w:rFonts w:ascii="Calibri" w:eastAsia="Times New Roman" w:hAnsi="Calibri" w:cs="Calibri"/>
                <w:b/>
                <w:bCs/>
                <w:color w:val="000000"/>
                <w:kern w:val="0"/>
                <w:sz w:val="20"/>
                <w:szCs w:val="20"/>
                <w:lang w:eastAsia="en-GB"/>
                <w14:ligatures w14:val="none"/>
              </w:rPr>
              <w:t xml:space="preserve">Qualitative or quantitative steps </w:t>
            </w:r>
          </w:p>
        </w:tc>
      </w:tr>
      <w:tr w:rsidR="00AA272E" w:rsidRPr="00AA272E" w14:paraId="4B886DDB" w14:textId="77777777" w:rsidTr="00AA272E">
        <w:trPr>
          <w:trHeight w:val="408"/>
        </w:trPr>
        <w:tc>
          <w:tcPr>
            <w:tcW w:w="1371" w:type="dxa"/>
            <w:vMerge/>
            <w:vAlign w:val="center"/>
            <w:hideMark/>
          </w:tcPr>
          <w:p w14:paraId="33951CE2"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p>
        </w:tc>
        <w:tc>
          <w:tcPr>
            <w:tcW w:w="1548" w:type="dxa"/>
            <w:vMerge/>
            <w:vAlign w:val="center"/>
            <w:hideMark/>
          </w:tcPr>
          <w:p w14:paraId="7A81E237"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p>
        </w:tc>
        <w:tc>
          <w:tcPr>
            <w:tcW w:w="2179" w:type="dxa"/>
            <w:vMerge/>
            <w:vAlign w:val="center"/>
            <w:hideMark/>
          </w:tcPr>
          <w:p w14:paraId="63D04932"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p>
        </w:tc>
        <w:tc>
          <w:tcPr>
            <w:tcW w:w="8930" w:type="dxa"/>
            <w:vMerge/>
            <w:vAlign w:val="center"/>
            <w:hideMark/>
          </w:tcPr>
          <w:p w14:paraId="4894EEB0" w14:textId="77777777" w:rsidR="00AA272E" w:rsidRPr="00AA272E" w:rsidRDefault="00AA272E" w:rsidP="00AA272E">
            <w:pPr>
              <w:spacing w:after="0" w:line="240" w:lineRule="auto"/>
              <w:rPr>
                <w:rFonts w:ascii="Calibri" w:eastAsia="Times New Roman" w:hAnsi="Calibri" w:cs="Calibri"/>
                <w:b/>
                <w:bCs/>
                <w:color w:val="000000"/>
                <w:kern w:val="0"/>
                <w:sz w:val="20"/>
                <w:szCs w:val="20"/>
                <w:lang w:eastAsia="en-GB"/>
                <w14:ligatures w14:val="none"/>
              </w:rPr>
            </w:pPr>
          </w:p>
        </w:tc>
      </w:tr>
      <w:tr w:rsidR="00AA272E" w:rsidRPr="00AA272E" w14:paraId="181F7258" w14:textId="77777777" w:rsidTr="00AA272E">
        <w:trPr>
          <w:trHeight w:val="300"/>
        </w:trPr>
        <w:tc>
          <w:tcPr>
            <w:tcW w:w="1371" w:type="dxa"/>
            <w:vMerge w:val="restart"/>
            <w:shd w:val="clear" w:color="auto" w:fill="auto"/>
            <w:vAlign w:val="center"/>
            <w:hideMark/>
          </w:tcPr>
          <w:p w14:paraId="4BEB4479"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 Green and Digital Transition</w:t>
            </w:r>
          </w:p>
        </w:tc>
        <w:tc>
          <w:tcPr>
            <w:tcW w:w="1548" w:type="dxa"/>
            <w:vMerge w:val="restart"/>
            <w:shd w:val="clear" w:color="auto" w:fill="auto"/>
            <w:vAlign w:val="center"/>
            <w:hideMark/>
          </w:tcPr>
          <w:p w14:paraId="1BAEAE9A"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1.1 Secure and sustainable digital infrastructures</w:t>
            </w:r>
          </w:p>
        </w:tc>
        <w:tc>
          <w:tcPr>
            <w:tcW w:w="2179" w:type="dxa"/>
            <w:vMerge w:val="restart"/>
            <w:shd w:val="clear" w:color="auto" w:fill="auto"/>
            <w:vAlign w:val="center"/>
            <w:hideMark/>
          </w:tcPr>
          <w:p w14:paraId="176CF8D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1.1.1 Enable secure broadband, including 5G roll-out.</w:t>
            </w:r>
          </w:p>
        </w:tc>
        <w:tc>
          <w:tcPr>
            <w:tcW w:w="8930" w:type="dxa"/>
            <w:shd w:val="clear" w:color="auto" w:fill="auto"/>
            <w:vAlign w:val="center"/>
            <w:hideMark/>
          </w:tcPr>
          <w:p w14:paraId="4A9391CB"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Framework Broadband strategy and costed Action Plan adopted by BiH </w:t>
            </w:r>
            <w:proofErr w:type="spellStart"/>
            <w:r w:rsidRPr="00AA272E">
              <w:rPr>
                <w:rFonts w:ascii="Calibri" w:eastAsia="Times New Roman" w:hAnsi="Calibri" w:cs="Calibri"/>
                <w:kern w:val="0"/>
                <w:sz w:val="20"/>
                <w:szCs w:val="20"/>
                <w:lang w:eastAsia="en-GB"/>
                <w14:ligatures w14:val="none"/>
              </w:rPr>
              <w:t>CoM</w:t>
            </w:r>
            <w:proofErr w:type="spellEnd"/>
            <w:r w:rsidRPr="00AA272E">
              <w:rPr>
                <w:rFonts w:ascii="Calibri" w:eastAsia="Times New Roman" w:hAnsi="Calibri" w:cs="Calibri"/>
                <w:kern w:val="0"/>
                <w:sz w:val="20"/>
                <w:szCs w:val="20"/>
                <w:lang w:eastAsia="en-GB"/>
                <w14:ligatures w14:val="none"/>
              </w:rPr>
              <w:t xml:space="preserve"> </w:t>
            </w:r>
            <w:r w:rsidRPr="00AA272E">
              <w:rPr>
                <w:rFonts w:ascii="Calibri" w:eastAsia="Times New Roman" w:hAnsi="Calibri" w:cs="Calibri"/>
                <w:b/>
                <w:bCs/>
                <w:kern w:val="0"/>
                <w:sz w:val="20"/>
                <w:szCs w:val="20"/>
                <w:lang w:eastAsia="en-GB"/>
                <w14:ligatures w14:val="none"/>
              </w:rPr>
              <w:t>(December 2024)</w:t>
            </w:r>
          </w:p>
        </w:tc>
      </w:tr>
      <w:tr w:rsidR="00AA272E" w:rsidRPr="00AA272E" w14:paraId="4D84F1B5" w14:textId="77777777" w:rsidTr="00AA272E">
        <w:trPr>
          <w:trHeight w:val="510"/>
        </w:trPr>
        <w:tc>
          <w:tcPr>
            <w:tcW w:w="1371" w:type="dxa"/>
            <w:vMerge/>
            <w:vAlign w:val="center"/>
            <w:hideMark/>
          </w:tcPr>
          <w:p w14:paraId="0972565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267F0B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889BE5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75916F6"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Bodies in place and staffed at all levels for coordination of broadband infrastructure deployment, aligned with EU legislation </w:t>
            </w:r>
            <w:r w:rsidRPr="00AA272E">
              <w:rPr>
                <w:rFonts w:ascii="Calibri" w:eastAsia="Times New Roman" w:hAnsi="Calibri" w:cs="Calibri"/>
                <w:b/>
                <w:bCs/>
                <w:kern w:val="0"/>
                <w:sz w:val="20"/>
                <w:szCs w:val="20"/>
                <w:lang w:eastAsia="en-GB"/>
                <w14:ligatures w14:val="none"/>
              </w:rPr>
              <w:t>(June 2025)</w:t>
            </w:r>
          </w:p>
        </w:tc>
      </w:tr>
      <w:tr w:rsidR="00AA272E" w:rsidRPr="00AA272E" w14:paraId="5CC6B20E" w14:textId="77777777" w:rsidTr="00AA272E">
        <w:trPr>
          <w:trHeight w:val="510"/>
        </w:trPr>
        <w:tc>
          <w:tcPr>
            <w:tcW w:w="1371" w:type="dxa"/>
            <w:vMerge/>
            <w:vAlign w:val="center"/>
            <w:hideMark/>
          </w:tcPr>
          <w:p w14:paraId="0039873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A0445D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0F8C15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21E2C9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Legislation </w:t>
            </w:r>
            <w:r w:rsidRPr="00AA272E">
              <w:rPr>
                <w:rFonts w:ascii="Calibri" w:eastAsia="Times New Roman" w:hAnsi="Calibri" w:cs="Calibri"/>
                <w:b/>
                <w:bCs/>
                <w:color w:val="375623"/>
                <w:kern w:val="0"/>
                <w:sz w:val="20"/>
                <w:szCs w:val="20"/>
                <w:lang w:eastAsia="en-GB"/>
                <w14:ligatures w14:val="none"/>
              </w:rPr>
              <w:t>across the country</w:t>
            </w:r>
            <w:r w:rsidRPr="00AA272E">
              <w:rPr>
                <w:rFonts w:ascii="Calibri" w:eastAsia="Times New Roman" w:hAnsi="Calibri" w:cs="Calibri"/>
                <w:color w:val="000000"/>
                <w:kern w:val="0"/>
                <w:sz w:val="20"/>
                <w:szCs w:val="20"/>
                <w:lang w:eastAsia="en-GB"/>
                <w14:ligatures w14:val="none"/>
              </w:rPr>
              <w:t xml:space="preserve"> aligned with the EU Broadband Cost Reduction Directive, European Electronic Communications Code, and Gigabit Infrastructure Act </w:t>
            </w:r>
            <w:r w:rsidRPr="00AA272E">
              <w:rPr>
                <w:rFonts w:ascii="Calibri" w:eastAsia="Times New Roman" w:hAnsi="Calibri" w:cs="Calibri"/>
                <w:b/>
                <w:bCs/>
                <w:color w:val="000000"/>
                <w:kern w:val="0"/>
                <w:sz w:val="20"/>
                <w:szCs w:val="20"/>
                <w:lang w:eastAsia="en-GB"/>
                <w14:ligatures w14:val="none"/>
              </w:rPr>
              <w:t>(December 2025)</w:t>
            </w:r>
          </w:p>
        </w:tc>
      </w:tr>
      <w:tr w:rsidR="00AA272E" w:rsidRPr="00AA272E" w14:paraId="052F2B92" w14:textId="77777777" w:rsidTr="00AA272E">
        <w:trPr>
          <w:trHeight w:val="525"/>
        </w:trPr>
        <w:tc>
          <w:tcPr>
            <w:tcW w:w="1371" w:type="dxa"/>
            <w:vMerge/>
            <w:vAlign w:val="center"/>
            <w:hideMark/>
          </w:tcPr>
          <w:p w14:paraId="4DA9B52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296780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18656A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9B6A5B9"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New Law on broadband security and 5G infrastructures roll-out implemented in compliance with the EU 5G Cybersecurity Toolbox at all levels </w:t>
            </w:r>
            <w:r w:rsidRPr="00AA272E">
              <w:rPr>
                <w:rFonts w:ascii="Calibri" w:eastAsia="Times New Roman" w:hAnsi="Calibri" w:cs="Calibri"/>
                <w:b/>
                <w:bCs/>
                <w:kern w:val="0"/>
                <w:sz w:val="20"/>
                <w:szCs w:val="20"/>
                <w:lang w:eastAsia="en-GB"/>
                <w14:ligatures w14:val="none"/>
              </w:rPr>
              <w:t>(December 2026)</w:t>
            </w:r>
          </w:p>
        </w:tc>
      </w:tr>
      <w:tr w:rsidR="00AA272E" w:rsidRPr="00AA272E" w14:paraId="33750489" w14:textId="77777777" w:rsidTr="00AA272E">
        <w:trPr>
          <w:trHeight w:val="765"/>
        </w:trPr>
        <w:tc>
          <w:tcPr>
            <w:tcW w:w="1371" w:type="dxa"/>
            <w:vMerge/>
            <w:vAlign w:val="center"/>
            <w:hideMark/>
          </w:tcPr>
          <w:p w14:paraId="7DA739A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135BD606"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1.2 Digitalisation of public services</w:t>
            </w:r>
          </w:p>
        </w:tc>
        <w:tc>
          <w:tcPr>
            <w:tcW w:w="2179" w:type="dxa"/>
            <w:vMerge w:val="restart"/>
            <w:shd w:val="clear" w:color="auto" w:fill="auto"/>
            <w:vAlign w:val="center"/>
            <w:hideMark/>
          </w:tcPr>
          <w:p w14:paraId="452E5E8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1.2.1 Develop an e-governance framework </w:t>
            </w:r>
          </w:p>
        </w:tc>
        <w:tc>
          <w:tcPr>
            <w:tcW w:w="8930" w:type="dxa"/>
            <w:shd w:val="clear" w:color="auto" w:fill="auto"/>
            <w:vAlign w:val="center"/>
            <w:hideMark/>
          </w:tcPr>
          <w:p w14:paraId="1EEE0DCF"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Adoption of the BiH Law on electronic identity and trust services for electronic transactions in line with the EU Acquis and subsequent harmonized entity legislation. The law </w:t>
            </w:r>
            <w:proofErr w:type="gramStart"/>
            <w:r w:rsidRPr="00AA272E">
              <w:rPr>
                <w:rFonts w:ascii="Calibri" w:eastAsia="Times New Roman" w:hAnsi="Calibri" w:cs="Calibri"/>
                <w:kern w:val="0"/>
                <w:sz w:val="20"/>
                <w:szCs w:val="20"/>
                <w:lang w:eastAsia="en-GB"/>
                <w14:ligatures w14:val="none"/>
              </w:rPr>
              <w:t>has to</w:t>
            </w:r>
            <w:proofErr w:type="gramEnd"/>
            <w:r w:rsidRPr="00AA272E">
              <w:rPr>
                <w:rFonts w:ascii="Calibri" w:eastAsia="Times New Roman" w:hAnsi="Calibri" w:cs="Calibri"/>
                <w:kern w:val="0"/>
                <w:sz w:val="20"/>
                <w:szCs w:val="20"/>
                <w:lang w:eastAsia="en-GB"/>
                <w14:ligatures w14:val="none"/>
              </w:rPr>
              <w:t xml:space="preserve"> include the single supervisory body for the whole country in line with the </w:t>
            </w:r>
            <w:proofErr w:type="spellStart"/>
            <w:r w:rsidRPr="00AA272E">
              <w:rPr>
                <w:rFonts w:ascii="Calibri" w:eastAsia="Times New Roman" w:hAnsi="Calibri" w:cs="Calibri"/>
                <w:kern w:val="0"/>
                <w:sz w:val="20"/>
                <w:szCs w:val="20"/>
                <w:lang w:eastAsia="en-GB"/>
                <w14:ligatures w14:val="none"/>
              </w:rPr>
              <w:t>eIDAS</w:t>
            </w:r>
            <w:proofErr w:type="spellEnd"/>
            <w:r w:rsidRPr="00AA272E">
              <w:rPr>
                <w:rFonts w:ascii="Calibri" w:eastAsia="Times New Roman" w:hAnsi="Calibri" w:cs="Calibri"/>
                <w:kern w:val="0"/>
                <w:sz w:val="20"/>
                <w:szCs w:val="20"/>
                <w:lang w:eastAsia="en-GB"/>
                <w14:ligatures w14:val="none"/>
              </w:rPr>
              <w:t xml:space="preserve"> Regulation </w:t>
            </w:r>
            <w:r w:rsidRPr="00AA272E">
              <w:rPr>
                <w:rFonts w:ascii="Calibri" w:eastAsia="Times New Roman" w:hAnsi="Calibri" w:cs="Calibri"/>
                <w:b/>
                <w:bCs/>
                <w:kern w:val="0"/>
                <w:sz w:val="20"/>
                <w:szCs w:val="20"/>
                <w:lang w:eastAsia="en-GB"/>
                <w14:ligatures w14:val="none"/>
              </w:rPr>
              <w:t>(December 2024)</w:t>
            </w:r>
          </w:p>
        </w:tc>
      </w:tr>
      <w:tr w:rsidR="00AA272E" w:rsidRPr="00AA272E" w14:paraId="47005D72" w14:textId="77777777" w:rsidTr="00AA272E">
        <w:trPr>
          <w:trHeight w:val="510"/>
        </w:trPr>
        <w:tc>
          <w:tcPr>
            <w:tcW w:w="1371" w:type="dxa"/>
            <w:vMerge/>
            <w:vAlign w:val="center"/>
            <w:hideMark/>
          </w:tcPr>
          <w:p w14:paraId="2B3BDCC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29286E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A4F25D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96C5B1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Adoption and implementation of the interoperability framework enabling exchange of data between different administrative levels</w:t>
            </w:r>
            <w:r w:rsidRPr="00AA272E">
              <w:rPr>
                <w:rFonts w:ascii="Calibri" w:eastAsia="Times New Roman" w:hAnsi="Calibri" w:cs="Calibri"/>
                <w:color w:val="6600CC"/>
                <w:kern w:val="0"/>
                <w:sz w:val="20"/>
                <w:szCs w:val="20"/>
                <w:lang w:eastAsia="en-GB"/>
                <w14:ligatures w14:val="none"/>
              </w:rPr>
              <w:t xml:space="preserve"> </w:t>
            </w:r>
            <w:r w:rsidRPr="00AA272E">
              <w:rPr>
                <w:rFonts w:ascii="Calibri" w:eastAsia="Times New Roman" w:hAnsi="Calibri" w:cs="Calibri"/>
                <w:b/>
                <w:bCs/>
                <w:kern w:val="0"/>
                <w:sz w:val="20"/>
                <w:szCs w:val="20"/>
                <w:lang w:eastAsia="en-GB"/>
                <w14:ligatures w14:val="none"/>
              </w:rPr>
              <w:t>(December 2026</w:t>
            </w:r>
            <w:r w:rsidRPr="00AA272E">
              <w:rPr>
                <w:rFonts w:ascii="Calibri" w:eastAsia="Times New Roman" w:hAnsi="Calibri" w:cs="Calibri"/>
                <w:b/>
                <w:bCs/>
                <w:color w:val="6600CC"/>
                <w:kern w:val="0"/>
                <w:sz w:val="20"/>
                <w:szCs w:val="20"/>
                <w:lang w:eastAsia="en-GB"/>
                <w14:ligatures w14:val="none"/>
              </w:rPr>
              <w:t>)</w:t>
            </w:r>
          </w:p>
        </w:tc>
      </w:tr>
      <w:tr w:rsidR="00AA272E" w:rsidRPr="00AA272E" w14:paraId="7430055A" w14:textId="77777777" w:rsidTr="00AA272E">
        <w:trPr>
          <w:trHeight w:val="300"/>
        </w:trPr>
        <w:tc>
          <w:tcPr>
            <w:tcW w:w="1371" w:type="dxa"/>
            <w:vMerge/>
            <w:vAlign w:val="center"/>
            <w:hideMark/>
          </w:tcPr>
          <w:p w14:paraId="740DB34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CA4AFD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4F9E82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24AEF7C"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Legislation aligned with Open Data Directive and e-Privacy Directive. </w:t>
            </w:r>
            <w:r w:rsidRPr="00AA272E">
              <w:rPr>
                <w:rFonts w:ascii="Calibri" w:eastAsia="Times New Roman" w:hAnsi="Calibri" w:cs="Calibri"/>
                <w:b/>
                <w:bCs/>
                <w:kern w:val="0"/>
                <w:sz w:val="20"/>
                <w:szCs w:val="20"/>
                <w:lang w:eastAsia="en-GB"/>
                <w14:ligatures w14:val="none"/>
              </w:rPr>
              <w:t>(December 2027)</w:t>
            </w:r>
          </w:p>
        </w:tc>
      </w:tr>
      <w:tr w:rsidR="00AA272E" w:rsidRPr="00AA272E" w14:paraId="0A9EE861" w14:textId="77777777" w:rsidTr="00AA272E">
        <w:trPr>
          <w:trHeight w:val="510"/>
        </w:trPr>
        <w:tc>
          <w:tcPr>
            <w:tcW w:w="1371" w:type="dxa"/>
            <w:vMerge/>
            <w:vAlign w:val="center"/>
            <w:hideMark/>
          </w:tcPr>
          <w:p w14:paraId="714A4C6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A61C4E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3CB1E9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26176C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Digital Identity Wallet Framework in place, including Architecture and Reference Framework </w:t>
            </w:r>
            <w:r w:rsidRPr="00AA272E">
              <w:rPr>
                <w:rFonts w:ascii="Calibri" w:eastAsia="Times New Roman" w:hAnsi="Calibri" w:cs="Calibri"/>
                <w:b/>
                <w:bCs/>
                <w:color w:val="000000"/>
                <w:kern w:val="0"/>
                <w:sz w:val="20"/>
                <w:szCs w:val="20"/>
                <w:lang w:eastAsia="en-GB"/>
                <w14:ligatures w14:val="none"/>
              </w:rPr>
              <w:t>(December 2026)</w:t>
            </w:r>
          </w:p>
        </w:tc>
      </w:tr>
      <w:tr w:rsidR="00AA272E" w:rsidRPr="00AA272E" w14:paraId="15CD92BB" w14:textId="77777777" w:rsidTr="00AA272E">
        <w:trPr>
          <w:trHeight w:val="315"/>
        </w:trPr>
        <w:tc>
          <w:tcPr>
            <w:tcW w:w="1371" w:type="dxa"/>
            <w:vMerge/>
            <w:vAlign w:val="center"/>
            <w:hideMark/>
          </w:tcPr>
          <w:p w14:paraId="0D459AE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2540BD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D584B3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F498732" w14:textId="77777777" w:rsidR="00AA272E" w:rsidRPr="00AA272E" w:rsidRDefault="00AA272E" w:rsidP="00AA272E">
            <w:pPr>
              <w:spacing w:after="0" w:line="240" w:lineRule="auto"/>
              <w:rPr>
                <w:rFonts w:ascii="Segoe UI" w:eastAsia="Times New Roman" w:hAnsi="Segoe UI" w:cs="Segoe UI"/>
                <w:color w:val="000000"/>
                <w:kern w:val="0"/>
                <w:sz w:val="18"/>
                <w:szCs w:val="18"/>
                <w:lang w:eastAsia="en-GB"/>
                <w14:ligatures w14:val="none"/>
              </w:rPr>
            </w:pPr>
            <w:r w:rsidRPr="00AA272E">
              <w:rPr>
                <w:rFonts w:ascii="Segoe UI" w:eastAsia="Times New Roman" w:hAnsi="Segoe UI" w:cs="Segoe UI"/>
                <w:color w:val="000000"/>
                <w:kern w:val="0"/>
                <w:sz w:val="18"/>
                <w:szCs w:val="18"/>
                <w:lang w:eastAsia="en-GB"/>
                <w14:ligatures w14:val="none"/>
              </w:rPr>
              <w:t>National</w:t>
            </w:r>
            <w:r w:rsidRPr="00AA272E">
              <w:rPr>
                <w:rFonts w:ascii="Calibri" w:eastAsia="Times New Roman" w:hAnsi="Calibri" w:cs="Calibri"/>
                <w:b/>
                <w:bCs/>
                <w:color w:val="000000"/>
                <w:kern w:val="0"/>
                <w:sz w:val="18"/>
                <w:szCs w:val="18"/>
                <w:lang w:eastAsia="en-GB"/>
                <w14:ligatures w14:val="none"/>
              </w:rPr>
              <w:t xml:space="preserve"> </w:t>
            </w:r>
            <w:r w:rsidRPr="00AA272E">
              <w:rPr>
                <w:rFonts w:ascii="Segoe UI" w:eastAsia="Times New Roman" w:hAnsi="Segoe UI" w:cs="Segoe UI"/>
                <w:color w:val="000000"/>
                <w:kern w:val="0"/>
                <w:sz w:val="18"/>
                <w:szCs w:val="18"/>
                <w:lang w:eastAsia="en-GB"/>
                <w14:ligatures w14:val="none"/>
              </w:rPr>
              <w:t xml:space="preserve">Digital Identity Wallet in compliance with new EU Digital Identity Framework' in place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4C832CB6" w14:textId="77777777" w:rsidTr="00AA272E">
        <w:trPr>
          <w:trHeight w:val="300"/>
        </w:trPr>
        <w:tc>
          <w:tcPr>
            <w:tcW w:w="1371" w:type="dxa"/>
            <w:vMerge/>
            <w:vAlign w:val="center"/>
            <w:hideMark/>
          </w:tcPr>
          <w:p w14:paraId="0A82DBD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59387AA8"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1.3 Cybersecurity</w:t>
            </w:r>
          </w:p>
        </w:tc>
        <w:tc>
          <w:tcPr>
            <w:tcW w:w="2179" w:type="dxa"/>
            <w:vMerge w:val="restart"/>
            <w:shd w:val="clear" w:color="auto" w:fill="auto"/>
            <w:vAlign w:val="center"/>
            <w:hideMark/>
          </w:tcPr>
          <w:p w14:paraId="66C657A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1.3.1 Set up a comprehensive framework for cyber resilience (introducing requirements of NIS2 Directive and strengthening relevant institutions at all levels of government)</w:t>
            </w:r>
          </w:p>
        </w:tc>
        <w:tc>
          <w:tcPr>
            <w:tcW w:w="8930" w:type="dxa"/>
            <w:shd w:val="clear" w:color="auto" w:fill="auto"/>
            <w:vAlign w:val="center"/>
            <w:hideMark/>
          </w:tcPr>
          <w:p w14:paraId="621E36C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Single point of contact in the sense of NIS2 Directive is established</w:t>
            </w:r>
            <w:r w:rsidRPr="00AA272E">
              <w:rPr>
                <w:rFonts w:ascii="Calibri" w:eastAsia="Times New Roman" w:hAnsi="Calibri" w:cs="Calibri"/>
                <w:b/>
                <w:bCs/>
                <w:color w:val="000000"/>
                <w:kern w:val="0"/>
                <w:sz w:val="20"/>
                <w:szCs w:val="20"/>
                <w:lang w:eastAsia="en-GB"/>
                <w14:ligatures w14:val="none"/>
              </w:rPr>
              <w:t xml:space="preserve"> (June 2025)</w:t>
            </w:r>
          </w:p>
        </w:tc>
      </w:tr>
      <w:tr w:rsidR="00AA272E" w:rsidRPr="00AA272E" w14:paraId="03D45A09" w14:textId="77777777" w:rsidTr="00AA272E">
        <w:trPr>
          <w:trHeight w:val="765"/>
        </w:trPr>
        <w:tc>
          <w:tcPr>
            <w:tcW w:w="1371" w:type="dxa"/>
            <w:vMerge/>
            <w:vAlign w:val="center"/>
            <w:hideMark/>
          </w:tcPr>
          <w:p w14:paraId="5F571FD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C6DD0F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BF5E38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32779E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State and entity-level CSIRTs are operational in line with NIS2 requirements and reach SIM3 model FIRST membership maturity profile. Clear coordination mechanisms are set out among the CSIRTs in the country </w:t>
            </w:r>
            <w:r w:rsidRPr="00AA272E">
              <w:rPr>
                <w:rFonts w:ascii="Calibri" w:eastAsia="Times New Roman" w:hAnsi="Calibri" w:cs="Calibri"/>
                <w:b/>
                <w:bCs/>
                <w:color w:val="000000"/>
                <w:kern w:val="0"/>
                <w:sz w:val="20"/>
                <w:szCs w:val="20"/>
                <w:lang w:eastAsia="en-GB"/>
                <w14:ligatures w14:val="none"/>
              </w:rPr>
              <w:t>(June 2025)</w:t>
            </w:r>
          </w:p>
        </w:tc>
      </w:tr>
      <w:tr w:rsidR="00AA272E" w:rsidRPr="00AA272E" w14:paraId="32D60190" w14:textId="77777777" w:rsidTr="00AA272E">
        <w:trPr>
          <w:trHeight w:val="765"/>
        </w:trPr>
        <w:tc>
          <w:tcPr>
            <w:tcW w:w="1371" w:type="dxa"/>
            <w:vMerge/>
            <w:vAlign w:val="center"/>
            <w:hideMark/>
          </w:tcPr>
          <w:p w14:paraId="048EBB1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2AB9D6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CC20F3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BCDD36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Competent authorities as defined in the NIS2 are operational on state, entity and Brcko District levels: sufficiently staffed, equipped with supervisory powers, performing supervisory checks</w:t>
            </w:r>
            <w:r w:rsidRPr="00AA272E">
              <w:rPr>
                <w:rFonts w:ascii="Calibri" w:eastAsia="Times New Roman" w:hAnsi="Calibri" w:cs="Calibri"/>
                <w:b/>
                <w:bCs/>
                <w:color w:val="000000"/>
                <w:kern w:val="0"/>
                <w:sz w:val="20"/>
                <w:szCs w:val="20"/>
                <w:lang w:eastAsia="en-GB"/>
                <w14:ligatures w14:val="none"/>
              </w:rPr>
              <w:t xml:space="preserve"> (December 2025)</w:t>
            </w:r>
          </w:p>
        </w:tc>
      </w:tr>
      <w:tr w:rsidR="00AA272E" w:rsidRPr="00AA272E" w14:paraId="3EE751B8" w14:textId="77777777" w:rsidTr="00AA272E">
        <w:trPr>
          <w:trHeight w:val="510"/>
        </w:trPr>
        <w:tc>
          <w:tcPr>
            <w:tcW w:w="1371" w:type="dxa"/>
            <w:vMerge/>
            <w:vAlign w:val="center"/>
            <w:hideMark/>
          </w:tcPr>
          <w:p w14:paraId="5706D11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B8F7EA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AF986D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1B76B6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Lists of entities</w:t>
            </w:r>
            <w:r w:rsidRPr="00AA272E">
              <w:rPr>
                <w:rFonts w:ascii="Calibri" w:eastAsia="Times New Roman" w:hAnsi="Calibri" w:cs="Calibri"/>
                <w:b/>
                <w:bCs/>
                <w:color w:val="000000"/>
                <w:kern w:val="0"/>
                <w:sz w:val="20"/>
                <w:szCs w:val="20"/>
                <w:lang w:eastAsia="en-GB"/>
                <w14:ligatures w14:val="none"/>
              </w:rPr>
              <w:t xml:space="preserve"> </w:t>
            </w:r>
            <w:r w:rsidRPr="00AA272E">
              <w:rPr>
                <w:rFonts w:ascii="Calibri" w:eastAsia="Times New Roman" w:hAnsi="Calibri" w:cs="Calibri"/>
                <w:color w:val="000000"/>
                <w:kern w:val="0"/>
                <w:sz w:val="20"/>
                <w:szCs w:val="20"/>
                <w:lang w:eastAsia="en-GB"/>
                <w14:ligatures w14:val="none"/>
              </w:rPr>
              <w:t xml:space="preserve">in scope of the state, entity and Brcko District level laws corresponding to the NIS2 Directive are finalized </w:t>
            </w:r>
            <w:r w:rsidRPr="00AA272E">
              <w:rPr>
                <w:rFonts w:ascii="Calibri" w:eastAsia="Times New Roman" w:hAnsi="Calibri" w:cs="Calibri"/>
                <w:b/>
                <w:bCs/>
                <w:kern w:val="0"/>
                <w:sz w:val="20"/>
                <w:szCs w:val="20"/>
                <w:lang w:eastAsia="en-GB"/>
                <w14:ligatures w14:val="none"/>
              </w:rPr>
              <w:t>(June 2026)</w:t>
            </w:r>
          </w:p>
        </w:tc>
      </w:tr>
      <w:tr w:rsidR="00AA272E" w:rsidRPr="00AA272E" w14:paraId="1B557D0E" w14:textId="77777777" w:rsidTr="00AA272E">
        <w:trPr>
          <w:trHeight w:val="525"/>
        </w:trPr>
        <w:tc>
          <w:tcPr>
            <w:tcW w:w="1371" w:type="dxa"/>
            <w:vMerge/>
            <w:vAlign w:val="center"/>
            <w:hideMark/>
          </w:tcPr>
          <w:p w14:paraId="4B36DB4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2863D8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2F359F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CCFC848"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Frameworks introduced by NIS2 alignment (Coordinated Vulnerability Disclosure framework, crisis management framework), are in place and in use</w:t>
            </w:r>
            <w:r w:rsidRPr="00AA272E">
              <w:rPr>
                <w:rFonts w:ascii="Calibri" w:eastAsia="Times New Roman" w:hAnsi="Calibri" w:cs="Calibri"/>
                <w:b/>
                <w:bCs/>
                <w:kern w:val="0"/>
                <w:sz w:val="20"/>
                <w:szCs w:val="20"/>
                <w:lang w:eastAsia="en-GB"/>
                <w14:ligatures w14:val="none"/>
              </w:rPr>
              <w:t xml:space="preserve"> (December 2026)</w:t>
            </w:r>
          </w:p>
        </w:tc>
      </w:tr>
      <w:tr w:rsidR="00AA272E" w:rsidRPr="00AA272E" w14:paraId="36D04275" w14:textId="77777777" w:rsidTr="00AA272E">
        <w:trPr>
          <w:trHeight w:val="510"/>
        </w:trPr>
        <w:tc>
          <w:tcPr>
            <w:tcW w:w="1371" w:type="dxa"/>
            <w:vMerge/>
            <w:vAlign w:val="center"/>
            <w:hideMark/>
          </w:tcPr>
          <w:p w14:paraId="39AB3D9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79663925"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1.4 Market reforms</w:t>
            </w:r>
          </w:p>
        </w:tc>
        <w:tc>
          <w:tcPr>
            <w:tcW w:w="2179" w:type="dxa"/>
            <w:vMerge w:val="restart"/>
            <w:shd w:val="clear" w:color="auto" w:fill="auto"/>
            <w:vAlign w:val="center"/>
            <w:hideMark/>
          </w:tcPr>
          <w:p w14:paraId="61AB2D3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1.4.1 Full implementation of the </w:t>
            </w:r>
            <w:r w:rsidRPr="00AA272E">
              <w:rPr>
                <w:rFonts w:ascii="Calibri" w:eastAsia="Times New Roman" w:hAnsi="Calibri" w:cs="Calibri"/>
                <w:color w:val="000000"/>
                <w:kern w:val="0"/>
                <w:sz w:val="20"/>
                <w:szCs w:val="20"/>
                <w:lang w:eastAsia="en-GB"/>
                <w14:ligatures w14:val="none"/>
              </w:rPr>
              <w:lastRenderedPageBreak/>
              <w:t>3rd Energy Package for electricity and gas and the electricity integration package, including appointment of NEMO, unbundling, gradual tariff adjustment and market coupling</w:t>
            </w:r>
          </w:p>
        </w:tc>
        <w:tc>
          <w:tcPr>
            <w:tcW w:w="8930" w:type="dxa"/>
            <w:shd w:val="clear" w:color="auto" w:fill="auto"/>
            <w:vAlign w:val="center"/>
            <w:hideMark/>
          </w:tcPr>
          <w:p w14:paraId="7EF34D1B"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hyperlink r:id="rId4" w:anchor="RANGE!_ftn1" w:history="1">
              <w:r w:rsidRPr="00AA272E">
                <w:rPr>
                  <w:rFonts w:ascii="Calibri" w:eastAsia="Times New Roman" w:hAnsi="Calibri" w:cs="Calibri"/>
                  <w:kern w:val="0"/>
                  <w:sz w:val="20"/>
                  <w:szCs w:val="20"/>
                  <w:lang w:eastAsia="en-GB"/>
                  <w14:ligatures w14:val="none"/>
                </w:rPr>
                <w:t xml:space="preserve">Legislation at State level in the field of electricity is adopted and fully aligned with the Third Energy Package and the Electricity Integration Package </w:t>
              </w:r>
              <w:r w:rsidRPr="00AA272E">
                <w:rPr>
                  <w:rFonts w:ascii="Calibri" w:eastAsia="Times New Roman" w:hAnsi="Calibri" w:cs="Calibri"/>
                  <w:b/>
                  <w:bCs/>
                  <w:kern w:val="0"/>
                  <w:sz w:val="20"/>
                  <w:szCs w:val="20"/>
                  <w:lang w:eastAsia="en-GB"/>
                  <w14:ligatures w14:val="none"/>
                </w:rPr>
                <w:t>(June 2025)</w:t>
              </w:r>
            </w:hyperlink>
          </w:p>
        </w:tc>
      </w:tr>
      <w:tr w:rsidR="00AA272E" w:rsidRPr="00AA272E" w14:paraId="2D551863" w14:textId="77777777" w:rsidTr="00AA272E">
        <w:trPr>
          <w:trHeight w:val="510"/>
        </w:trPr>
        <w:tc>
          <w:tcPr>
            <w:tcW w:w="1371" w:type="dxa"/>
            <w:vMerge/>
            <w:vAlign w:val="center"/>
            <w:hideMark/>
          </w:tcPr>
          <w:p w14:paraId="6E92539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E9D1CC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C65A0D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1D8018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 Legislation in the field of gas is adopted and fully aligned with the Third Energy Package (</w:t>
            </w:r>
            <w:r w:rsidRPr="00AA272E">
              <w:rPr>
                <w:rFonts w:ascii="Calibri" w:eastAsia="Times New Roman" w:hAnsi="Calibri" w:cs="Calibri"/>
                <w:b/>
                <w:bCs/>
                <w:color w:val="000000"/>
                <w:kern w:val="0"/>
                <w:sz w:val="20"/>
                <w:szCs w:val="20"/>
                <w:lang w:eastAsia="en-GB"/>
                <w14:ligatures w14:val="none"/>
              </w:rPr>
              <w:t>December 2024</w:t>
            </w:r>
            <w:r w:rsidRPr="00AA272E">
              <w:rPr>
                <w:rFonts w:ascii="Calibri" w:eastAsia="Times New Roman" w:hAnsi="Calibri" w:cs="Calibri"/>
                <w:color w:val="000000"/>
                <w:kern w:val="0"/>
                <w:sz w:val="20"/>
                <w:szCs w:val="20"/>
                <w:lang w:eastAsia="en-GB"/>
                <w14:ligatures w14:val="none"/>
              </w:rPr>
              <w:t>)</w:t>
            </w:r>
          </w:p>
        </w:tc>
      </w:tr>
      <w:tr w:rsidR="00AA272E" w:rsidRPr="00AA272E" w14:paraId="0CEC2926" w14:textId="77777777" w:rsidTr="00AA272E">
        <w:trPr>
          <w:trHeight w:val="300"/>
        </w:trPr>
        <w:tc>
          <w:tcPr>
            <w:tcW w:w="1371" w:type="dxa"/>
            <w:vMerge/>
            <w:vAlign w:val="center"/>
            <w:hideMark/>
          </w:tcPr>
          <w:p w14:paraId="34954C3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E9A4B1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03FEBD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F47E802" w14:textId="77777777" w:rsidR="00AA272E" w:rsidRPr="00AA272E" w:rsidRDefault="00AA272E" w:rsidP="00AA272E">
            <w:pPr>
              <w:spacing w:after="0" w:line="240" w:lineRule="auto"/>
              <w:jc w:val="both"/>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Appoint one Nominated Electricity Market Operator (NEMO) </w:t>
            </w:r>
            <w:r w:rsidRPr="00AA272E">
              <w:rPr>
                <w:rFonts w:ascii="Calibri" w:eastAsia="Times New Roman" w:hAnsi="Calibri" w:cs="Calibri"/>
                <w:kern w:val="0"/>
                <w:sz w:val="20"/>
                <w:szCs w:val="20"/>
                <w:lang w:eastAsia="en-GB"/>
                <w14:ligatures w14:val="none"/>
              </w:rPr>
              <w:t>(</w:t>
            </w:r>
            <w:r w:rsidRPr="00AA272E">
              <w:rPr>
                <w:rFonts w:ascii="Calibri" w:eastAsia="Times New Roman" w:hAnsi="Calibri" w:cs="Calibri"/>
                <w:b/>
                <w:bCs/>
                <w:kern w:val="0"/>
                <w:sz w:val="20"/>
                <w:szCs w:val="20"/>
                <w:lang w:eastAsia="en-GB"/>
                <w14:ligatures w14:val="none"/>
              </w:rPr>
              <w:t>December 2025</w:t>
            </w:r>
            <w:r w:rsidRPr="00AA272E">
              <w:rPr>
                <w:rFonts w:ascii="Calibri" w:eastAsia="Times New Roman" w:hAnsi="Calibri" w:cs="Calibri"/>
                <w:kern w:val="0"/>
                <w:sz w:val="20"/>
                <w:szCs w:val="20"/>
                <w:lang w:eastAsia="en-GB"/>
                <w14:ligatures w14:val="none"/>
              </w:rPr>
              <w:t>)</w:t>
            </w:r>
          </w:p>
        </w:tc>
      </w:tr>
      <w:tr w:rsidR="00AA272E" w:rsidRPr="00AA272E" w14:paraId="1C05595F" w14:textId="77777777" w:rsidTr="00AA272E">
        <w:trPr>
          <w:trHeight w:val="510"/>
        </w:trPr>
        <w:tc>
          <w:tcPr>
            <w:tcW w:w="1371" w:type="dxa"/>
            <w:vMerge/>
            <w:vAlign w:val="center"/>
            <w:hideMark/>
          </w:tcPr>
          <w:p w14:paraId="5AF3528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3B1AF9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2AA876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3318655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Unbundling and certification of all electricity distribution and transmission system operators (DSO and TSO) in line with the Third Energy Package (</w:t>
            </w:r>
            <w:r w:rsidRPr="00AA272E">
              <w:rPr>
                <w:rFonts w:ascii="Calibri" w:eastAsia="Times New Roman" w:hAnsi="Calibri" w:cs="Calibri"/>
                <w:b/>
                <w:bCs/>
                <w:color w:val="000000"/>
                <w:kern w:val="0"/>
                <w:sz w:val="20"/>
                <w:szCs w:val="20"/>
                <w:lang w:eastAsia="en-GB"/>
                <w14:ligatures w14:val="none"/>
              </w:rPr>
              <w:t>June 2025</w:t>
            </w:r>
            <w:r w:rsidRPr="00AA272E">
              <w:rPr>
                <w:rFonts w:ascii="Calibri" w:eastAsia="Times New Roman" w:hAnsi="Calibri" w:cs="Calibri"/>
                <w:color w:val="000000"/>
                <w:kern w:val="0"/>
                <w:sz w:val="20"/>
                <w:szCs w:val="20"/>
                <w:lang w:eastAsia="en-GB"/>
                <w14:ligatures w14:val="none"/>
              </w:rPr>
              <w:t>)</w:t>
            </w:r>
          </w:p>
        </w:tc>
      </w:tr>
      <w:tr w:rsidR="00AA272E" w:rsidRPr="00AA272E" w14:paraId="3BC7D8A8" w14:textId="77777777" w:rsidTr="00AA272E">
        <w:trPr>
          <w:trHeight w:val="1275"/>
        </w:trPr>
        <w:tc>
          <w:tcPr>
            <w:tcW w:w="1371" w:type="dxa"/>
            <w:vMerge/>
            <w:vAlign w:val="center"/>
            <w:hideMark/>
          </w:tcPr>
          <w:p w14:paraId="14425A4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08DCAD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AABF97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28E362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Continue implementation of the electricity integration package in line with Energy Community requirements, including:                                                                                                                                                        1)       Open the day-ahead and intraday market (establishment of power exchange)                                   2)       Continue implementation of the electricity integration package by the TSO and NEMOs joining day ahead market coupling with the EU. </w:t>
            </w:r>
            <w:r w:rsidRPr="00AA272E">
              <w:rPr>
                <w:rFonts w:ascii="Calibri" w:eastAsia="Times New Roman" w:hAnsi="Calibri" w:cs="Calibri"/>
                <w:b/>
                <w:bCs/>
                <w:color w:val="000000"/>
                <w:kern w:val="0"/>
                <w:sz w:val="20"/>
                <w:szCs w:val="20"/>
                <w:lang w:eastAsia="en-GB"/>
                <w14:ligatures w14:val="none"/>
              </w:rPr>
              <w:t>(December 2025)</w:t>
            </w:r>
          </w:p>
        </w:tc>
      </w:tr>
      <w:tr w:rsidR="00AA272E" w:rsidRPr="00AA272E" w14:paraId="7F94F905" w14:textId="77777777" w:rsidTr="00AA272E">
        <w:trPr>
          <w:trHeight w:val="780"/>
        </w:trPr>
        <w:tc>
          <w:tcPr>
            <w:tcW w:w="1371" w:type="dxa"/>
            <w:vMerge/>
            <w:vAlign w:val="center"/>
            <w:hideMark/>
          </w:tcPr>
          <w:p w14:paraId="7CCF80D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F8DBF5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BF18E1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3CE6133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Electricity price for households reflect the market costs in line with EU best practice (for ex.  linking bilateral supply contracts between the generator and the supplier of electricity to annual average of the day-ahead market price) (</w:t>
            </w:r>
            <w:r w:rsidRPr="00AA272E">
              <w:rPr>
                <w:rFonts w:ascii="Calibri" w:eastAsia="Times New Roman" w:hAnsi="Calibri" w:cs="Calibri"/>
                <w:b/>
                <w:bCs/>
                <w:color w:val="000000"/>
                <w:kern w:val="0"/>
                <w:sz w:val="20"/>
                <w:szCs w:val="20"/>
                <w:lang w:eastAsia="en-GB"/>
                <w14:ligatures w14:val="none"/>
              </w:rPr>
              <w:t>December 2027</w:t>
            </w:r>
            <w:r w:rsidRPr="00AA272E">
              <w:rPr>
                <w:rFonts w:ascii="Calibri" w:eastAsia="Times New Roman" w:hAnsi="Calibri" w:cs="Calibri"/>
                <w:color w:val="000000"/>
                <w:kern w:val="0"/>
                <w:sz w:val="20"/>
                <w:szCs w:val="20"/>
                <w:lang w:eastAsia="en-GB"/>
                <w14:ligatures w14:val="none"/>
              </w:rPr>
              <w:t>)</w:t>
            </w:r>
          </w:p>
        </w:tc>
      </w:tr>
      <w:tr w:rsidR="00AA272E" w:rsidRPr="00AA272E" w14:paraId="7E246032" w14:textId="77777777" w:rsidTr="00AA272E">
        <w:trPr>
          <w:trHeight w:val="510"/>
        </w:trPr>
        <w:tc>
          <w:tcPr>
            <w:tcW w:w="1371" w:type="dxa"/>
            <w:vMerge/>
            <w:vAlign w:val="center"/>
            <w:hideMark/>
          </w:tcPr>
          <w:p w14:paraId="1122200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6533F6C6"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1.5 Decarbonisation policy and ETS adoption</w:t>
            </w:r>
          </w:p>
        </w:tc>
        <w:tc>
          <w:tcPr>
            <w:tcW w:w="2179" w:type="dxa"/>
            <w:vMerge w:val="restart"/>
            <w:shd w:val="clear" w:color="auto" w:fill="auto"/>
            <w:vAlign w:val="center"/>
            <w:hideMark/>
          </w:tcPr>
          <w:p w14:paraId="158EED4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1.5.1 Implementation of the NECP and other related strategic documents (roadmap for just transition in coal regions). </w:t>
            </w:r>
          </w:p>
        </w:tc>
        <w:tc>
          <w:tcPr>
            <w:tcW w:w="8930" w:type="dxa"/>
            <w:shd w:val="clear" w:color="auto" w:fill="auto"/>
            <w:vAlign w:val="center"/>
            <w:hideMark/>
          </w:tcPr>
          <w:p w14:paraId="2731DDD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Roadmap for just transition in coal regions adopted together with the establishment of the just transition governance process (</w:t>
            </w:r>
            <w:r w:rsidRPr="00AA272E">
              <w:rPr>
                <w:rFonts w:ascii="Calibri" w:eastAsia="Times New Roman" w:hAnsi="Calibri" w:cs="Calibri"/>
                <w:b/>
                <w:bCs/>
                <w:color w:val="000000"/>
                <w:kern w:val="0"/>
                <w:sz w:val="20"/>
                <w:szCs w:val="20"/>
                <w:lang w:eastAsia="en-GB"/>
                <w14:ligatures w14:val="none"/>
              </w:rPr>
              <w:t>December 2024</w:t>
            </w:r>
            <w:r w:rsidRPr="00AA272E">
              <w:rPr>
                <w:rFonts w:ascii="Calibri" w:eastAsia="Times New Roman" w:hAnsi="Calibri" w:cs="Calibri"/>
                <w:color w:val="000000"/>
                <w:kern w:val="0"/>
                <w:sz w:val="20"/>
                <w:szCs w:val="20"/>
                <w:lang w:eastAsia="en-GB"/>
                <w14:ligatures w14:val="none"/>
              </w:rPr>
              <w:t>)</w:t>
            </w:r>
          </w:p>
        </w:tc>
      </w:tr>
      <w:tr w:rsidR="00AA272E" w:rsidRPr="00AA272E" w14:paraId="5F5B6F32" w14:textId="77777777" w:rsidTr="00AA272E">
        <w:trPr>
          <w:trHeight w:val="525"/>
        </w:trPr>
        <w:tc>
          <w:tcPr>
            <w:tcW w:w="1371" w:type="dxa"/>
            <w:vMerge/>
            <w:vAlign w:val="center"/>
            <w:hideMark/>
          </w:tcPr>
          <w:p w14:paraId="548B5D6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18AAFA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08169D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000000" w:fill="FFFFFF"/>
            <w:vAlign w:val="center"/>
            <w:hideMark/>
          </w:tcPr>
          <w:p w14:paraId="3FC6449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x% of active workers/miners/workforce in coal regions reskilled and x% working in new sectors (progress in implementation of just transition roadmap) (</w:t>
            </w:r>
            <w:r w:rsidRPr="00AA272E">
              <w:rPr>
                <w:rFonts w:ascii="Calibri" w:eastAsia="Times New Roman" w:hAnsi="Calibri" w:cs="Calibri"/>
                <w:b/>
                <w:bCs/>
                <w:color w:val="000000"/>
                <w:kern w:val="0"/>
                <w:sz w:val="20"/>
                <w:szCs w:val="20"/>
                <w:lang w:eastAsia="en-GB"/>
                <w14:ligatures w14:val="none"/>
              </w:rPr>
              <w:t>June 2027</w:t>
            </w:r>
            <w:r w:rsidRPr="00AA272E">
              <w:rPr>
                <w:rFonts w:ascii="Calibri" w:eastAsia="Times New Roman" w:hAnsi="Calibri" w:cs="Calibri"/>
                <w:color w:val="000000"/>
                <w:kern w:val="0"/>
                <w:sz w:val="20"/>
                <w:szCs w:val="20"/>
                <w:lang w:eastAsia="en-GB"/>
                <w14:ligatures w14:val="none"/>
              </w:rPr>
              <w:t>)</w:t>
            </w:r>
          </w:p>
        </w:tc>
      </w:tr>
      <w:tr w:rsidR="00AA272E" w:rsidRPr="00AA272E" w14:paraId="5E9B3B0F" w14:textId="77777777" w:rsidTr="00AA272E">
        <w:trPr>
          <w:trHeight w:val="510"/>
        </w:trPr>
        <w:tc>
          <w:tcPr>
            <w:tcW w:w="1371" w:type="dxa"/>
            <w:vMerge/>
            <w:vAlign w:val="center"/>
            <w:hideMark/>
          </w:tcPr>
          <w:p w14:paraId="51C5AC8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777947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3186D37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1.5.2 Work on carbon pricing with the aim of having an ETS in place by 2030, implement climate legislation aligned with EU Climate Law, including commitments to climate neutrality</w:t>
            </w:r>
          </w:p>
        </w:tc>
        <w:tc>
          <w:tcPr>
            <w:tcW w:w="8930" w:type="dxa"/>
            <w:shd w:val="clear" w:color="auto" w:fill="auto"/>
            <w:vAlign w:val="center"/>
            <w:hideMark/>
          </w:tcPr>
          <w:p w14:paraId="1C6B9EA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Adopt climate legislation aligned with EU Climate Law including commitments to climate neutrality (</w:t>
            </w:r>
            <w:r w:rsidRPr="00AA272E">
              <w:rPr>
                <w:rFonts w:ascii="Calibri" w:eastAsia="Times New Roman" w:hAnsi="Calibri" w:cs="Calibri"/>
                <w:b/>
                <w:bCs/>
                <w:color w:val="000000"/>
                <w:kern w:val="0"/>
                <w:sz w:val="20"/>
                <w:szCs w:val="20"/>
                <w:lang w:eastAsia="en-GB"/>
                <w14:ligatures w14:val="none"/>
              </w:rPr>
              <w:t>December 2024</w:t>
            </w:r>
            <w:r w:rsidRPr="00AA272E">
              <w:rPr>
                <w:rFonts w:ascii="Calibri" w:eastAsia="Times New Roman" w:hAnsi="Calibri" w:cs="Calibri"/>
                <w:color w:val="000000"/>
                <w:kern w:val="0"/>
                <w:sz w:val="20"/>
                <w:szCs w:val="20"/>
                <w:lang w:eastAsia="en-GB"/>
                <w14:ligatures w14:val="none"/>
              </w:rPr>
              <w:t>)</w:t>
            </w:r>
          </w:p>
        </w:tc>
      </w:tr>
      <w:tr w:rsidR="00AA272E" w:rsidRPr="00AA272E" w14:paraId="300EE7D8" w14:textId="77777777" w:rsidTr="00AA272E">
        <w:trPr>
          <w:trHeight w:val="525"/>
        </w:trPr>
        <w:tc>
          <w:tcPr>
            <w:tcW w:w="1371" w:type="dxa"/>
            <w:vMerge/>
            <w:vAlign w:val="center"/>
            <w:hideMark/>
          </w:tcPr>
          <w:p w14:paraId="04358E7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5A605F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D3F1C0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92265A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Full implementation of Monitoring, Reporting, Verification and Accreditation (MRVA) package adopted in the Energy Community (</w:t>
            </w:r>
            <w:r w:rsidRPr="00AA272E">
              <w:rPr>
                <w:rFonts w:ascii="Calibri" w:eastAsia="Times New Roman" w:hAnsi="Calibri" w:cs="Calibri"/>
                <w:b/>
                <w:bCs/>
                <w:color w:val="000000"/>
                <w:kern w:val="0"/>
                <w:sz w:val="20"/>
                <w:szCs w:val="20"/>
                <w:lang w:eastAsia="en-GB"/>
                <w14:ligatures w14:val="none"/>
              </w:rPr>
              <w:t>June 2025</w:t>
            </w:r>
            <w:r w:rsidRPr="00AA272E">
              <w:rPr>
                <w:rFonts w:ascii="Calibri" w:eastAsia="Times New Roman" w:hAnsi="Calibri" w:cs="Calibri"/>
                <w:color w:val="000000"/>
                <w:kern w:val="0"/>
                <w:sz w:val="20"/>
                <w:szCs w:val="20"/>
                <w:lang w:eastAsia="en-GB"/>
                <w14:ligatures w14:val="none"/>
              </w:rPr>
              <w:t>)</w:t>
            </w:r>
          </w:p>
        </w:tc>
      </w:tr>
      <w:tr w:rsidR="00AA272E" w:rsidRPr="00AA272E" w14:paraId="3A3CF010" w14:textId="77777777" w:rsidTr="00AA272E">
        <w:trPr>
          <w:trHeight w:val="300"/>
        </w:trPr>
        <w:tc>
          <w:tcPr>
            <w:tcW w:w="1371" w:type="dxa"/>
            <w:vMerge/>
            <w:vAlign w:val="center"/>
            <w:hideMark/>
          </w:tcPr>
          <w:p w14:paraId="46E1042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4168952C"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1.6 Renewables deployment</w:t>
            </w:r>
          </w:p>
        </w:tc>
        <w:tc>
          <w:tcPr>
            <w:tcW w:w="2179" w:type="dxa"/>
            <w:vMerge w:val="restart"/>
            <w:shd w:val="clear" w:color="auto" w:fill="auto"/>
            <w:vAlign w:val="center"/>
            <w:hideMark/>
          </w:tcPr>
          <w:p w14:paraId="642F866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1.6.1 Implementation of the Renewable Energy Directive, including use of transparent and competitive procedures for deployment of </w:t>
            </w:r>
            <w:r w:rsidRPr="00AA272E">
              <w:rPr>
                <w:rFonts w:ascii="Calibri" w:eastAsia="Times New Roman" w:hAnsi="Calibri" w:cs="Calibri"/>
                <w:color w:val="000000"/>
                <w:kern w:val="0"/>
                <w:sz w:val="20"/>
                <w:szCs w:val="20"/>
                <w:lang w:eastAsia="en-GB"/>
                <w14:ligatures w14:val="none"/>
              </w:rPr>
              <w:lastRenderedPageBreak/>
              <w:t>renewable energy, permitting, guarantees of origin and first RES auction.</w:t>
            </w:r>
          </w:p>
        </w:tc>
        <w:tc>
          <w:tcPr>
            <w:tcW w:w="8930" w:type="dxa"/>
            <w:shd w:val="clear" w:color="auto" w:fill="auto"/>
            <w:vAlign w:val="center"/>
            <w:hideMark/>
          </w:tcPr>
          <w:p w14:paraId="0E434FC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lastRenderedPageBreak/>
              <w:t>Launch first RES auction and announce 3-year auction plan (</w:t>
            </w:r>
            <w:r w:rsidRPr="00AA272E">
              <w:rPr>
                <w:rFonts w:ascii="Calibri" w:eastAsia="Times New Roman" w:hAnsi="Calibri" w:cs="Calibri"/>
                <w:b/>
                <w:bCs/>
                <w:color w:val="000000"/>
                <w:kern w:val="0"/>
                <w:sz w:val="20"/>
                <w:szCs w:val="20"/>
                <w:lang w:eastAsia="en-GB"/>
                <w14:ligatures w14:val="none"/>
              </w:rPr>
              <w:t>June 2025</w:t>
            </w:r>
            <w:r w:rsidRPr="00AA272E">
              <w:rPr>
                <w:rFonts w:ascii="Calibri" w:eastAsia="Times New Roman" w:hAnsi="Calibri" w:cs="Calibri"/>
                <w:color w:val="000000"/>
                <w:kern w:val="0"/>
                <w:sz w:val="20"/>
                <w:szCs w:val="20"/>
                <w:lang w:eastAsia="en-GB"/>
                <w14:ligatures w14:val="none"/>
              </w:rPr>
              <w:t>)</w:t>
            </w:r>
          </w:p>
        </w:tc>
      </w:tr>
      <w:tr w:rsidR="00AA272E" w:rsidRPr="00AA272E" w14:paraId="6E9720AC" w14:textId="77777777" w:rsidTr="00AA272E">
        <w:trPr>
          <w:trHeight w:val="510"/>
        </w:trPr>
        <w:tc>
          <w:tcPr>
            <w:tcW w:w="1371" w:type="dxa"/>
            <w:vMerge/>
            <w:vAlign w:val="center"/>
            <w:hideMark/>
          </w:tcPr>
          <w:p w14:paraId="4ED26AB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95473D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7EE353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87C348E"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Permitting procedures time for renewables reduced by 50% (including households, public buildings and large installations) to enable faster deployment of renewables (</w:t>
            </w:r>
            <w:r w:rsidRPr="00AA272E">
              <w:rPr>
                <w:rFonts w:ascii="Calibri" w:eastAsia="Times New Roman" w:hAnsi="Calibri" w:cs="Calibri"/>
                <w:b/>
                <w:bCs/>
                <w:kern w:val="0"/>
                <w:sz w:val="20"/>
                <w:szCs w:val="20"/>
                <w:lang w:eastAsia="en-GB"/>
                <w14:ligatures w14:val="none"/>
              </w:rPr>
              <w:t>June 2026)</w:t>
            </w:r>
          </w:p>
        </w:tc>
      </w:tr>
      <w:tr w:rsidR="00AA272E" w:rsidRPr="00AA272E" w14:paraId="3048967F" w14:textId="77777777" w:rsidTr="00AA272E">
        <w:trPr>
          <w:trHeight w:val="300"/>
        </w:trPr>
        <w:tc>
          <w:tcPr>
            <w:tcW w:w="1371" w:type="dxa"/>
            <w:vMerge/>
            <w:vAlign w:val="center"/>
            <w:hideMark/>
          </w:tcPr>
          <w:p w14:paraId="36CD659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0BE218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919E8B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2010A0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Installed capacity for prosumers is more than x MW (</w:t>
            </w:r>
            <w:r w:rsidRPr="00AA272E">
              <w:rPr>
                <w:rFonts w:ascii="Calibri" w:eastAsia="Times New Roman" w:hAnsi="Calibri" w:cs="Calibri"/>
                <w:b/>
                <w:bCs/>
                <w:color w:val="000000"/>
                <w:kern w:val="0"/>
                <w:sz w:val="20"/>
                <w:szCs w:val="20"/>
                <w:lang w:eastAsia="en-GB"/>
                <w14:ligatures w14:val="none"/>
              </w:rPr>
              <w:t>June 2026</w:t>
            </w:r>
            <w:r w:rsidRPr="00AA272E">
              <w:rPr>
                <w:rFonts w:ascii="Calibri" w:eastAsia="Times New Roman" w:hAnsi="Calibri" w:cs="Calibri"/>
                <w:color w:val="000000"/>
                <w:kern w:val="0"/>
                <w:sz w:val="20"/>
                <w:szCs w:val="20"/>
                <w:lang w:eastAsia="en-GB"/>
                <w14:ligatures w14:val="none"/>
              </w:rPr>
              <w:t>)</w:t>
            </w:r>
          </w:p>
        </w:tc>
      </w:tr>
      <w:tr w:rsidR="00AA272E" w:rsidRPr="00AA272E" w14:paraId="522E981F" w14:textId="77777777" w:rsidTr="00AA272E">
        <w:trPr>
          <w:trHeight w:val="525"/>
        </w:trPr>
        <w:tc>
          <w:tcPr>
            <w:tcW w:w="1371" w:type="dxa"/>
            <w:vMerge/>
            <w:vAlign w:val="center"/>
            <w:hideMark/>
          </w:tcPr>
          <w:p w14:paraId="6BC24B5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7D24F0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A2FBA4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000000" w:fill="FFFFFF"/>
            <w:vAlign w:val="center"/>
            <w:hideMark/>
          </w:tcPr>
          <w:p w14:paraId="140B2399"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At least X GW of new renewable energy (solar and wind) capacities installed (according to the NECP and Energy Community targets) (</w:t>
            </w:r>
            <w:r w:rsidRPr="00AA272E">
              <w:rPr>
                <w:rFonts w:ascii="Calibri" w:eastAsia="Times New Roman" w:hAnsi="Calibri" w:cs="Calibri"/>
                <w:b/>
                <w:bCs/>
                <w:kern w:val="0"/>
                <w:sz w:val="20"/>
                <w:szCs w:val="20"/>
                <w:lang w:eastAsia="en-GB"/>
                <w14:ligatures w14:val="none"/>
              </w:rPr>
              <w:t>June 2025</w:t>
            </w:r>
            <w:r w:rsidRPr="00AA272E">
              <w:rPr>
                <w:rFonts w:ascii="Calibri" w:eastAsia="Times New Roman" w:hAnsi="Calibri" w:cs="Calibri"/>
                <w:kern w:val="0"/>
                <w:sz w:val="20"/>
                <w:szCs w:val="20"/>
                <w:lang w:eastAsia="en-GB"/>
                <w14:ligatures w14:val="none"/>
              </w:rPr>
              <w:t>)</w:t>
            </w:r>
          </w:p>
        </w:tc>
      </w:tr>
      <w:tr w:rsidR="00AA272E" w:rsidRPr="00AA272E" w14:paraId="297EAC8F" w14:textId="77777777" w:rsidTr="00AA272E">
        <w:trPr>
          <w:trHeight w:val="510"/>
        </w:trPr>
        <w:tc>
          <w:tcPr>
            <w:tcW w:w="1371" w:type="dxa"/>
            <w:vMerge/>
            <w:vAlign w:val="center"/>
            <w:hideMark/>
          </w:tcPr>
          <w:p w14:paraId="608EC85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60A8545F"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1.7. Energy Efficiency and Air Pollution</w:t>
            </w:r>
          </w:p>
        </w:tc>
        <w:tc>
          <w:tcPr>
            <w:tcW w:w="2179" w:type="dxa"/>
            <w:vMerge w:val="restart"/>
            <w:shd w:val="clear" w:color="auto" w:fill="auto"/>
            <w:vAlign w:val="center"/>
            <w:hideMark/>
          </w:tcPr>
          <w:p w14:paraId="34B9A52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1.7.1. Full implementation of the EED, EPBD, Eco-design and energy labelling legislation</w:t>
            </w:r>
          </w:p>
        </w:tc>
        <w:tc>
          <w:tcPr>
            <w:tcW w:w="8930" w:type="dxa"/>
            <w:shd w:val="clear" w:color="auto" w:fill="auto"/>
            <w:vAlign w:val="center"/>
            <w:hideMark/>
          </w:tcPr>
          <w:p w14:paraId="51012DB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The issuing of Energy Performance Certificates is ensured (in line with the EPBD regulation) (</w:t>
            </w:r>
            <w:r w:rsidRPr="00AA272E">
              <w:rPr>
                <w:rFonts w:ascii="Calibri" w:eastAsia="Times New Roman" w:hAnsi="Calibri" w:cs="Calibri"/>
                <w:b/>
                <w:bCs/>
                <w:color w:val="000000"/>
                <w:kern w:val="0"/>
                <w:sz w:val="20"/>
                <w:szCs w:val="20"/>
                <w:lang w:eastAsia="en-GB"/>
                <w14:ligatures w14:val="none"/>
              </w:rPr>
              <w:t>December 2024</w:t>
            </w:r>
            <w:r w:rsidRPr="00AA272E">
              <w:rPr>
                <w:rFonts w:ascii="Calibri" w:eastAsia="Times New Roman" w:hAnsi="Calibri" w:cs="Calibri"/>
                <w:color w:val="000000"/>
                <w:kern w:val="0"/>
                <w:sz w:val="20"/>
                <w:szCs w:val="20"/>
                <w:lang w:eastAsia="en-GB"/>
                <w14:ligatures w14:val="none"/>
              </w:rPr>
              <w:t>)</w:t>
            </w:r>
          </w:p>
        </w:tc>
      </w:tr>
      <w:tr w:rsidR="00AA272E" w:rsidRPr="00AA272E" w14:paraId="30443161" w14:textId="77777777" w:rsidTr="00AA272E">
        <w:trPr>
          <w:trHeight w:val="300"/>
        </w:trPr>
        <w:tc>
          <w:tcPr>
            <w:tcW w:w="1371" w:type="dxa"/>
            <w:vMerge/>
            <w:vAlign w:val="center"/>
            <w:hideMark/>
          </w:tcPr>
          <w:p w14:paraId="7BAEAD4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73B94D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3CA516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3A2A188"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Adoption of the Buildings renovation Strategy</w:t>
            </w:r>
            <w:r w:rsidRPr="00AA272E">
              <w:rPr>
                <w:rFonts w:ascii="Calibri" w:eastAsia="Times New Roman" w:hAnsi="Calibri" w:cs="Calibri"/>
                <w:b/>
                <w:bCs/>
                <w:kern w:val="0"/>
                <w:sz w:val="20"/>
                <w:szCs w:val="20"/>
                <w:lang w:eastAsia="en-GB"/>
                <w14:ligatures w14:val="none"/>
              </w:rPr>
              <w:t xml:space="preserve"> </w:t>
            </w:r>
            <w:r w:rsidRPr="00AA272E">
              <w:rPr>
                <w:rFonts w:ascii="Calibri" w:eastAsia="Times New Roman" w:hAnsi="Calibri" w:cs="Calibri"/>
                <w:kern w:val="0"/>
                <w:sz w:val="20"/>
                <w:szCs w:val="20"/>
                <w:lang w:eastAsia="en-GB"/>
                <w14:ligatures w14:val="none"/>
              </w:rPr>
              <w:t>(</w:t>
            </w:r>
            <w:r w:rsidRPr="00AA272E">
              <w:rPr>
                <w:rFonts w:ascii="Calibri" w:eastAsia="Times New Roman" w:hAnsi="Calibri" w:cs="Calibri"/>
                <w:b/>
                <w:bCs/>
                <w:kern w:val="0"/>
                <w:sz w:val="20"/>
                <w:szCs w:val="20"/>
                <w:lang w:eastAsia="en-GB"/>
                <w14:ligatures w14:val="none"/>
              </w:rPr>
              <w:t>December 2024</w:t>
            </w:r>
            <w:r w:rsidRPr="00AA272E">
              <w:rPr>
                <w:rFonts w:ascii="Calibri" w:eastAsia="Times New Roman" w:hAnsi="Calibri" w:cs="Calibri"/>
                <w:kern w:val="0"/>
                <w:sz w:val="20"/>
                <w:szCs w:val="20"/>
                <w:lang w:eastAsia="en-GB"/>
                <w14:ligatures w14:val="none"/>
              </w:rPr>
              <w:t>)</w:t>
            </w:r>
          </w:p>
        </w:tc>
      </w:tr>
      <w:tr w:rsidR="00AA272E" w:rsidRPr="00AA272E" w14:paraId="16EAB11E" w14:textId="77777777" w:rsidTr="00AA272E">
        <w:trPr>
          <w:trHeight w:val="510"/>
        </w:trPr>
        <w:tc>
          <w:tcPr>
            <w:tcW w:w="1371" w:type="dxa"/>
            <w:vMerge/>
            <w:vAlign w:val="center"/>
            <w:hideMark/>
          </w:tcPr>
          <w:p w14:paraId="4327179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DC04B3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512CE5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D8259B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Renovation of existing public buildings ongoing and aligned with the 3% Energy Efficiency Directive target (</w:t>
            </w:r>
            <w:r w:rsidRPr="00AA272E">
              <w:rPr>
                <w:rFonts w:ascii="Calibri" w:eastAsia="Times New Roman" w:hAnsi="Calibri" w:cs="Calibri"/>
                <w:b/>
                <w:bCs/>
                <w:color w:val="000000"/>
                <w:kern w:val="0"/>
                <w:sz w:val="20"/>
                <w:szCs w:val="20"/>
                <w:lang w:eastAsia="en-GB"/>
                <w14:ligatures w14:val="none"/>
              </w:rPr>
              <w:t>December 2025</w:t>
            </w:r>
            <w:r w:rsidRPr="00AA272E">
              <w:rPr>
                <w:rFonts w:ascii="Calibri" w:eastAsia="Times New Roman" w:hAnsi="Calibri" w:cs="Calibri"/>
                <w:color w:val="000000"/>
                <w:kern w:val="0"/>
                <w:sz w:val="20"/>
                <w:szCs w:val="20"/>
                <w:lang w:eastAsia="en-GB"/>
                <w14:ligatures w14:val="none"/>
              </w:rPr>
              <w:t>)</w:t>
            </w:r>
          </w:p>
        </w:tc>
      </w:tr>
      <w:tr w:rsidR="00AA272E" w:rsidRPr="00AA272E" w14:paraId="7098637F" w14:textId="77777777" w:rsidTr="00AA272E">
        <w:trPr>
          <w:trHeight w:val="510"/>
        </w:trPr>
        <w:tc>
          <w:tcPr>
            <w:tcW w:w="1371" w:type="dxa"/>
            <w:vMerge/>
            <w:vAlign w:val="center"/>
            <w:hideMark/>
          </w:tcPr>
          <w:p w14:paraId="449987B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0F7693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E8B591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2E67EF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Amend relevant legislation to improve decision-making on energy efficiency investments for homeowners and homeowners’ associations (multi-apartment buildings) (</w:t>
            </w:r>
            <w:r w:rsidRPr="00AA272E">
              <w:rPr>
                <w:rFonts w:ascii="Calibri" w:eastAsia="Times New Roman" w:hAnsi="Calibri" w:cs="Calibri"/>
                <w:b/>
                <w:bCs/>
                <w:color w:val="000000"/>
                <w:kern w:val="0"/>
                <w:sz w:val="20"/>
                <w:szCs w:val="20"/>
                <w:lang w:eastAsia="en-GB"/>
                <w14:ligatures w14:val="none"/>
              </w:rPr>
              <w:t>December 2026</w:t>
            </w:r>
            <w:r w:rsidRPr="00AA272E">
              <w:rPr>
                <w:rFonts w:ascii="Calibri" w:eastAsia="Times New Roman" w:hAnsi="Calibri" w:cs="Calibri"/>
                <w:color w:val="000000"/>
                <w:kern w:val="0"/>
                <w:sz w:val="20"/>
                <w:szCs w:val="20"/>
                <w:lang w:eastAsia="en-GB"/>
                <w14:ligatures w14:val="none"/>
              </w:rPr>
              <w:t>)</w:t>
            </w:r>
          </w:p>
        </w:tc>
      </w:tr>
      <w:tr w:rsidR="00AA272E" w:rsidRPr="00AA272E" w14:paraId="00CA45E0" w14:textId="77777777" w:rsidTr="00AA272E">
        <w:trPr>
          <w:trHeight w:val="2603"/>
        </w:trPr>
        <w:tc>
          <w:tcPr>
            <w:tcW w:w="1371" w:type="dxa"/>
            <w:vMerge/>
            <w:vAlign w:val="center"/>
            <w:hideMark/>
          </w:tcPr>
          <w:p w14:paraId="212DE0C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814B31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D285FA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6841FC1" w14:textId="77777777" w:rsid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Increase annual rate of building renovation in accordance with the d</w:t>
            </w:r>
            <w:r w:rsidRPr="00AA272E">
              <w:rPr>
                <w:rFonts w:ascii="Calibri" w:eastAsia="Times New Roman" w:hAnsi="Calibri" w:cs="Calibri"/>
                <w:color w:val="000000"/>
                <w:kern w:val="0"/>
                <w:lang w:eastAsia="en-GB"/>
                <w14:ligatures w14:val="none"/>
              </w:rPr>
              <w:t xml:space="preserve">raft </w:t>
            </w:r>
            <w:r w:rsidRPr="00AA272E">
              <w:rPr>
                <w:rFonts w:ascii="Calibri" w:eastAsia="Times New Roman" w:hAnsi="Calibri" w:cs="Calibri"/>
                <w:color w:val="000000"/>
                <w:kern w:val="0"/>
                <w:sz w:val="20"/>
                <w:szCs w:val="20"/>
                <w:lang w:eastAsia="en-GB"/>
                <w14:ligatures w14:val="none"/>
              </w:rPr>
              <w:t xml:space="preserve">NECP indicative milestones of the long-term strategy for the renovation of the national stock of residential and non-residential buildings:                                                                                                                                                                          </w:t>
            </w:r>
          </w:p>
          <w:p w14:paraId="20EAC79D" w14:textId="12E2EBFE"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1)            Public sector buildings renovated - Mil 1.06 m2                                                                                                   2)             Individual house renovated: Mil 4.55 m2 in the period 2021-2027, annual renovation rate 1.2 % of total residential area                                                                                                                                                             3)             Multi-apartment buildings (without district heating (DHS)) renovated: Mil 1.46 m2 in the period 2021-2027, annual renovation rate 0.39 % of total residential area                                                                       4)             Multi-apartment buildings (DHS) renovated: Mil 0.66 m2 in the period 2021-2027, annual renovation rate 0.17 % of total residential area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5F9EDA95" w14:textId="77777777" w:rsidTr="00AA272E">
        <w:trPr>
          <w:trHeight w:val="315"/>
        </w:trPr>
        <w:tc>
          <w:tcPr>
            <w:tcW w:w="1371" w:type="dxa"/>
            <w:vMerge/>
            <w:vAlign w:val="center"/>
            <w:hideMark/>
          </w:tcPr>
          <w:p w14:paraId="6AE74C0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65CCEC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176C2F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422BA3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Roll-out of consumption-based metering and billing for district heating (</w:t>
            </w:r>
            <w:r w:rsidRPr="00AA272E">
              <w:rPr>
                <w:rFonts w:ascii="Calibri" w:eastAsia="Times New Roman" w:hAnsi="Calibri" w:cs="Calibri"/>
                <w:b/>
                <w:bCs/>
                <w:color w:val="000000"/>
                <w:kern w:val="0"/>
                <w:sz w:val="20"/>
                <w:szCs w:val="20"/>
                <w:lang w:eastAsia="en-GB"/>
                <w14:ligatures w14:val="none"/>
              </w:rPr>
              <w:t>June 2027</w:t>
            </w:r>
            <w:r w:rsidRPr="00AA272E">
              <w:rPr>
                <w:rFonts w:ascii="Calibri" w:eastAsia="Times New Roman" w:hAnsi="Calibri" w:cs="Calibri"/>
                <w:color w:val="000000"/>
                <w:kern w:val="0"/>
                <w:sz w:val="20"/>
                <w:szCs w:val="20"/>
                <w:lang w:eastAsia="en-GB"/>
                <w14:ligatures w14:val="none"/>
              </w:rPr>
              <w:t>)</w:t>
            </w:r>
          </w:p>
        </w:tc>
      </w:tr>
      <w:tr w:rsidR="00AA272E" w:rsidRPr="00AA272E" w14:paraId="3146DE87" w14:textId="77777777" w:rsidTr="00AA272E">
        <w:trPr>
          <w:trHeight w:val="300"/>
        </w:trPr>
        <w:tc>
          <w:tcPr>
            <w:tcW w:w="1371" w:type="dxa"/>
            <w:vMerge w:val="restart"/>
            <w:shd w:val="clear" w:color="auto" w:fill="auto"/>
            <w:vAlign w:val="center"/>
            <w:hideMark/>
          </w:tcPr>
          <w:p w14:paraId="6C347C70"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2. Private sector development and business environment</w:t>
            </w:r>
          </w:p>
        </w:tc>
        <w:tc>
          <w:tcPr>
            <w:tcW w:w="1548" w:type="dxa"/>
            <w:vMerge w:val="restart"/>
            <w:shd w:val="clear" w:color="auto" w:fill="auto"/>
            <w:vAlign w:val="center"/>
            <w:hideMark/>
          </w:tcPr>
          <w:p w14:paraId="3496CD9F"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2.1 Business environment</w:t>
            </w:r>
          </w:p>
        </w:tc>
        <w:tc>
          <w:tcPr>
            <w:tcW w:w="2179" w:type="dxa"/>
            <w:vMerge w:val="restart"/>
            <w:shd w:val="clear" w:color="auto" w:fill="auto"/>
            <w:vAlign w:val="center"/>
            <w:hideMark/>
          </w:tcPr>
          <w:p w14:paraId="185B2D3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2.1.1 Strengthen governance and management and increase the efficiency and transparency </w:t>
            </w:r>
            <w:proofErr w:type="gramStart"/>
            <w:r w:rsidRPr="00AA272E">
              <w:rPr>
                <w:rFonts w:ascii="Calibri" w:eastAsia="Times New Roman" w:hAnsi="Calibri" w:cs="Calibri"/>
                <w:color w:val="000000"/>
                <w:kern w:val="0"/>
                <w:sz w:val="20"/>
                <w:szCs w:val="20"/>
                <w:lang w:eastAsia="en-GB"/>
                <w14:ligatures w14:val="none"/>
              </w:rPr>
              <w:t>of  public</w:t>
            </w:r>
            <w:proofErr w:type="gramEnd"/>
            <w:r w:rsidRPr="00AA272E">
              <w:rPr>
                <w:rFonts w:ascii="Calibri" w:eastAsia="Times New Roman" w:hAnsi="Calibri" w:cs="Calibri"/>
                <w:color w:val="000000"/>
                <w:kern w:val="0"/>
                <w:sz w:val="20"/>
                <w:szCs w:val="20"/>
                <w:lang w:eastAsia="en-GB"/>
                <w14:ligatures w14:val="none"/>
              </w:rPr>
              <w:t xml:space="preserve"> enterprises, including SOEs, </w:t>
            </w:r>
          </w:p>
        </w:tc>
        <w:tc>
          <w:tcPr>
            <w:tcW w:w="8930" w:type="dxa"/>
            <w:shd w:val="clear" w:color="auto" w:fill="auto"/>
            <w:vAlign w:val="center"/>
            <w:hideMark/>
          </w:tcPr>
          <w:p w14:paraId="7CE1A83C"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proofErr w:type="spellStart"/>
            <w:r w:rsidRPr="00AA272E">
              <w:rPr>
                <w:rFonts w:ascii="Calibri" w:eastAsia="Times New Roman" w:hAnsi="Calibri" w:cs="Calibri"/>
                <w:b/>
                <w:bCs/>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registers at entity level is regularly updated and publicl</w:t>
            </w:r>
            <w:r w:rsidRPr="00AA272E">
              <w:rPr>
                <w:rFonts w:ascii="Calibri" w:eastAsia="Times New Roman" w:hAnsi="Calibri" w:cs="Calibri"/>
                <w:kern w:val="0"/>
                <w:sz w:val="20"/>
                <w:szCs w:val="20"/>
                <w:u w:val="single"/>
                <w:lang w:eastAsia="en-GB"/>
                <w14:ligatures w14:val="none"/>
              </w:rPr>
              <w:t>y</w:t>
            </w:r>
            <w:r w:rsidRPr="00AA272E">
              <w:rPr>
                <w:rFonts w:ascii="Calibri" w:eastAsia="Times New Roman" w:hAnsi="Calibri" w:cs="Calibri"/>
                <w:kern w:val="0"/>
                <w:sz w:val="20"/>
                <w:szCs w:val="20"/>
                <w:lang w:eastAsia="en-GB"/>
                <w14:ligatures w14:val="none"/>
              </w:rPr>
              <w:t xml:space="preserve"> available (</w:t>
            </w:r>
            <w:r w:rsidRPr="00AA272E">
              <w:rPr>
                <w:rFonts w:ascii="Calibri" w:eastAsia="Times New Roman" w:hAnsi="Calibri" w:cs="Calibri"/>
                <w:b/>
                <w:bCs/>
                <w:kern w:val="0"/>
                <w:sz w:val="20"/>
                <w:szCs w:val="20"/>
                <w:lang w:eastAsia="en-GB"/>
                <w14:ligatures w14:val="none"/>
              </w:rPr>
              <w:t>December 2025</w:t>
            </w:r>
            <w:r w:rsidRPr="00AA272E">
              <w:rPr>
                <w:rFonts w:ascii="Calibri" w:eastAsia="Times New Roman" w:hAnsi="Calibri" w:cs="Calibri"/>
                <w:kern w:val="0"/>
                <w:sz w:val="20"/>
                <w:szCs w:val="20"/>
                <w:lang w:eastAsia="en-GB"/>
                <w14:ligatures w14:val="none"/>
              </w:rPr>
              <w:t>)</w:t>
            </w:r>
          </w:p>
        </w:tc>
      </w:tr>
      <w:tr w:rsidR="00AA272E" w:rsidRPr="00AA272E" w14:paraId="32256311" w14:textId="77777777" w:rsidTr="00AA272E">
        <w:trPr>
          <w:trHeight w:val="510"/>
        </w:trPr>
        <w:tc>
          <w:tcPr>
            <w:tcW w:w="1371" w:type="dxa"/>
            <w:vMerge/>
            <w:vAlign w:val="center"/>
            <w:hideMark/>
          </w:tcPr>
          <w:p w14:paraId="06D3B0D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234131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2CDB4F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8A476D8"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Legislation related to </w:t>
            </w:r>
            <w:proofErr w:type="spellStart"/>
            <w:r w:rsidRPr="00AA272E">
              <w:rPr>
                <w:rFonts w:ascii="Calibri" w:eastAsia="Times New Roman" w:hAnsi="Calibri" w:cs="Calibri"/>
                <w:b/>
                <w:bCs/>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management to address climate considerations by providing guidelines for business planning and reporting of </w:t>
            </w:r>
            <w:proofErr w:type="spellStart"/>
            <w:r w:rsidRPr="00AA272E">
              <w:rPr>
                <w:rFonts w:ascii="Calibri" w:eastAsia="Times New Roman" w:hAnsi="Calibri" w:cs="Calibri"/>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is aligned </w:t>
            </w:r>
            <w:r w:rsidRPr="00AA272E">
              <w:rPr>
                <w:rFonts w:ascii="Calibri" w:eastAsia="Times New Roman" w:hAnsi="Calibri" w:cs="Calibri"/>
                <w:b/>
                <w:bCs/>
                <w:kern w:val="0"/>
                <w:sz w:val="20"/>
                <w:szCs w:val="20"/>
                <w:lang w:eastAsia="en-GB"/>
                <w14:ligatures w14:val="none"/>
              </w:rPr>
              <w:t>(December 2025)</w:t>
            </w:r>
          </w:p>
        </w:tc>
      </w:tr>
      <w:tr w:rsidR="00AA272E" w:rsidRPr="00AA272E" w14:paraId="5C3BCAE4" w14:textId="77777777" w:rsidTr="00AA272E">
        <w:trPr>
          <w:trHeight w:val="765"/>
        </w:trPr>
        <w:tc>
          <w:tcPr>
            <w:tcW w:w="1371" w:type="dxa"/>
            <w:vMerge/>
            <w:vAlign w:val="center"/>
            <w:hideMark/>
          </w:tcPr>
          <w:p w14:paraId="5F56500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D49EA8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7B5F9E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B41F999"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Regulation related to </w:t>
            </w:r>
            <w:proofErr w:type="spellStart"/>
            <w:r w:rsidRPr="00AA272E">
              <w:rPr>
                <w:rFonts w:ascii="Calibri" w:eastAsia="Times New Roman" w:hAnsi="Calibri" w:cs="Calibri"/>
                <w:b/>
                <w:bCs/>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governance and transparency aligned with best practice (OECD guidelines) including state ownership strategy, monitoring market disruptions, providing guidelines for business planning, procurement and reporting, addressing climate considerations (</w:t>
            </w:r>
            <w:r w:rsidRPr="00AA272E">
              <w:rPr>
                <w:rFonts w:ascii="Calibri" w:eastAsia="Times New Roman" w:hAnsi="Calibri" w:cs="Calibri"/>
                <w:b/>
                <w:bCs/>
                <w:kern w:val="0"/>
                <w:sz w:val="20"/>
                <w:szCs w:val="20"/>
                <w:lang w:eastAsia="en-GB"/>
                <w14:ligatures w14:val="none"/>
              </w:rPr>
              <w:t>June 2025</w:t>
            </w:r>
            <w:r w:rsidRPr="00AA272E">
              <w:rPr>
                <w:rFonts w:ascii="Calibri" w:eastAsia="Times New Roman" w:hAnsi="Calibri" w:cs="Calibri"/>
                <w:kern w:val="0"/>
                <w:sz w:val="20"/>
                <w:szCs w:val="20"/>
                <w:lang w:eastAsia="en-GB"/>
                <w14:ligatures w14:val="none"/>
              </w:rPr>
              <w:t>)</w:t>
            </w:r>
          </w:p>
        </w:tc>
      </w:tr>
      <w:tr w:rsidR="00AA272E" w:rsidRPr="00AA272E" w14:paraId="50666D52" w14:textId="77777777" w:rsidTr="00AA272E">
        <w:trPr>
          <w:trHeight w:val="510"/>
        </w:trPr>
        <w:tc>
          <w:tcPr>
            <w:tcW w:w="1371" w:type="dxa"/>
            <w:vMerge/>
            <w:vAlign w:val="center"/>
            <w:hideMark/>
          </w:tcPr>
          <w:p w14:paraId="7CE382E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F222F0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D7358F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D29D140"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proofErr w:type="spellStart"/>
            <w:r w:rsidRPr="00AA272E">
              <w:rPr>
                <w:rFonts w:ascii="Calibri" w:eastAsia="Times New Roman" w:hAnsi="Calibri" w:cs="Calibri"/>
                <w:b/>
                <w:bCs/>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Oversight Units published annual report on </w:t>
            </w:r>
            <w:proofErr w:type="spellStart"/>
            <w:r w:rsidRPr="00AA272E">
              <w:rPr>
                <w:rFonts w:ascii="Calibri" w:eastAsia="Times New Roman" w:hAnsi="Calibri" w:cs="Calibri"/>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impact on economy including fiscal risk assessment stemming from direct and contingent </w:t>
            </w:r>
            <w:proofErr w:type="spellStart"/>
            <w:r w:rsidRPr="00AA272E">
              <w:rPr>
                <w:rFonts w:ascii="Calibri" w:eastAsia="Times New Roman" w:hAnsi="Calibri" w:cs="Calibri"/>
                <w:b/>
                <w:bCs/>
                <w:kern w:val="0"/>
                <w:sz w:val="20"/>
                <w:szCs w:val="20"/>
                <w:lang w:eastAsia="en-GB"/>
                <w14:ligatures w14:val="none"/>
              </w:rPr>
              <w:t>PoEs</w:t>
            </w:r>
            <w:proofErr w:type="spellEnd"/>
            <w:r w:rsidRPr="00AA272E">
              <w:rPr>
                <w:rFonts w:ascii="Calibri" w:eastAsia="Times New Roman" w:hAnsi="Calibri" w:cs="Calibri"/>
                <w:kern w:val="0"/>
                <w:sz w:val="20"/>
                <w:szCs w:val="20"/>
                <w:lang w:eastAsia="en-GB"/>
                <w14:ligatures w14:val="none"/>
              </w:rPr>
              <w:t xml:space="preserve"> liabilities and state guarantees. (</w:t>
            </w:r>
            <w:r w:rsidRPr="00AA272E">
              <w:rPr>
                <w:rFonts w:ascii="Calibri" w:eastAsia="Times New Roman" w:hAnsi="Calibri" w:cs="Calibri"/>
                <w:b/>
                <w:bCs/>
                <w:kern w:val="0"/>
                <w:sz w:val="20"/>
                <w:szCs w:val="20"/>
                <w:lang w:eastAsia="en-GB"/>
                <w14:ligatures w14:val="none"/>
              </w:rPr>
              <w:t>June 2025</w:t>
            </w:r>
            <w:r w:rsidRPr="00AA272E">
              <w:rPr>
                <w:rFonts w:ascii="Calibri" w:eastAsia="Times New Roman" w:hAnsi="Calibri" w:cs="Calibri"/>
                <w:kern w:val="0"/>
                <w:sz w:val="20"/>
                <w:szCs w:val="20"/>
                <w:lang w:eastAsia="en-GB"/>
                <w14:ligatures w14:val="none"/>
              </w:rPr>
              <w:t>)</w:t>
            </w:r>
          </w:p>
        </w:tc>
      </w:tr>
      <w:tr w:rsidR="00AA272E" w:rsidRPr="00AA272E" w14:paraId="65147B36" w14:textId="77777777" w:rsidTr="00AA272E">
        <w:trPr>
          <w:trHeight w:val="1020"/>
        </w:trPr>
        <w:tc>
          <w:tcPr>
            <w:tcW w:w="1371" w:type="dxa"/>
            <w:vMerge/>
            <w:vAlign w:val="center"/>
            <w:hideMark/>
          </w:tcPr>
          <w:p w14:paraId="047CB07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E8B931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B97820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E62F1E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State aid legislation fully harmonized with European standards (consistent enforcement of state aid rules throughout the country, strengthen the operational capacities of the State Aid Council, align existing aid schemes with SAA obligations, establish benchmarks to transparency of aid allocation and increase quality of reporting (</w:t>
            </w:r>
            <w:r w:rsidRPr="00AA272E">
              <w:rPr>
                <w:rFonts w:ascii="Calibri" w:eastAsia="Times New Roman" w:hAnsi="Calibri" w:cs="Calibri"/>
                <w:b/>
                <w:bCs/>
                <w:color w:val="000000"/>
                <w:kern w:val="0"/>
                <w:sz w:val="20"/>
                <w:szCs w:val="20"/>
                <w:lang w:eastAsia="en-GB"/>
                <w14:ligatures w14:val="none"/>
              </w:rPr>
              <w:t>December 202</w:t>
            </w:r>
            <w:r w:rsidRPr="00AA272E">
              <w:rPr>
                <w:rFonts w:ascii="Calibri" w:eastAsia="Times New Roman" w:hAnsi="Calibri" w:cs="Calibri"/>
                <w:b/>
                <w:bCs/>
                <w:color w:val="375623"/>
                <w:kern w:val="0"/>
                <w:sz w:val="20"/>
                <w:szCs w:val="20"/>
                <w:lang w:eastAsia="en-GB"/>
                <w14:ligatures w14:val="none"/>
              </w:rPr>
              <w:t>6</w:t>
            </w:r>
            <w:r w:rsidRPr="00AA272E">
              <w:rPr>
                <w:rFonts w:ascii="Calibri" w:eastAsia="Times New Roman" w:hAnsi="Calibri" w:cs="Calibri"/>
                <w:color w:val="000000"/>
                <w:kern w:val="0"/>
                <w:sz w:val="20"/>
                <w:szCs w:val="20"/>
                <w:lang w:eastAsia="en-GB"/>
                <w14:ligatures w14:val="none"/>
              </w:rPr>
              <w:t>)</w:t>
            </w:r>
          </w:p>
        </w:tc>
      </w:tr>
      <w:tr w:rsidR="00AA272E" w:rsidRPr="00AA272E" w14:paraId="2574043A" w14:textId="77777777" w:rsidTr="00AA272E">
        <w:trPr>
          <w:trHeight w:val="300"/>
        </w:trPr>
        <w:tc>
          <w:tcPr>
            <w:tcW w:w="1371" w:type="dxa"/>
            <w:vMerge/>
            <w:vAlign w:val="center"/>
            <w:hideMark/>
          </w:tcPr>
          <w:p w14:paraId="5DC7AAF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FF5E81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7D4D26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A99A246"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proofErr w:type="spellStart"/>
            <w:r w:rsidRPr="00AA272E">
              <w:rPr>
                <w:rFonts w:ascii="Calibri" w:eastAsia="Times New Roman" w:hAnsi="Calibri" w:cs="Calibri"/>
                <w:kern w:val="0"/>
                <w:sz w:val="20"/>
                <w:szCs w:val="20"/>
                <w:lang w:eastAsia="en-GB"/>
                <w14:ligatures w14:val="none"/>
              </w:rPr>
              <w:t>P</w:t>
            </w:r>
            <w:r w:rsidRPr="00AA272E">
              <w:rPr>
                <w:rFonts w:ascii="Calibri" w:eastAsia="Times New Roman" w:hAnsi="Calibri" w:cs="Calibri"/>
                <w:b/>
                <w:bCs/>
                <w:kern w:val="0"/>
                <w:sz w:val="20"/>
                <w:szCs w:val="20"/>
                <w:lang w:eastAsia="en-GB"/>
                <w14:ligatures w14:val="none"/>
              </w:rPr>
              <w:t>oEs</w:t>
            </w:r>
            <w:proofErr w:type="spellEnd"/>
            <w:r w:rsidRPr="00AA272E">
              <w:rPr>
                <w:rFonts w:ascii="Calibri" w:eastAsia="Times New Roman" w:hAnsi="Calibri" w:cs="Calibri"/>
                <w:kern w:val="0"/>
                <w:sz w:val="20"/>
                <w:szCs w:val="20"/>
                <w:lang w:eastAsia="en-GB"/>
                <w14:ligatures w14:val="none"/>
              </w:rPr>
              <w:t xml:space="preserve"> arrears reduced by 30% in comparison to baseline 2023 (</w:t>
            </w:r>
            <w:r w:rsidRPr="00AA272E">
              <w:rPr>
                <w:rFonts w:ascii="Calibri" w:eastAsia="Times New Roman" w:hAnsi="Calibri" w:cs="Calibri"/>
                <w:b/>
                <w:bCs/>
                <w:kern w:val="0"/>
                <w:sz w:val="20"/>
                <w:szCs w:val="20"/>
                <w:lang w:eastAsia="en-GB"/>
                <w14:ligatures w14:val="none"/>
              </w:rPr>
              <w:t>December 2025</w:t>
            </w:r>
            <w:r w:rsidRPr="00AA272E">
              <w:rPr>
                <w:rFonts w:ascii="Calibri" w:eastAsia="Times New Roman" w:hAnsi="Calibri" w:cs="Calibri"/>
                <w:kern w:val="0"/>
                <w:sz w:val="20"/>
                <w:szCs w:val="20"/>
                <w:lang w:eastAsia="en-GB"/>
                <w14:ligatures w14:val="none"/>
              </w:rPr>
              <w:t>)</w:t>
            </w:r>
          </w:p>
        </w:tc>
      </w:tr>
      <w:tr w:rsidR="00AA272E" w:rsidRPr="00AA272E" w14:paraId="5CBBDBAD" w14:textId="77777777" w:rsidTr="00AA272E">
        <w:trPr>
          <w:trHeight w:val="315"/>
        </w:trPr>
        <w:tc>
          <w:tcPr>
            <w:tcW w:w="1371" w:type="dxa"/>
            <w:vMerge/>
            <w:vAlign w:val="center"/>
            <w:hideMark/>
          </w:tcPr>
          <w:p w14:paraId="6ED2D94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9E7033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E7411B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noWrap/>
            <w:vAlign w:val="center"/>
            <w:hideMark/>
          </w:tcPr>
          <w:p w14:paraId="65D7F85C"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At least one public private partnership in effect for the management of airport infrastructure</w:t>
            </w:r>
            <w:r w:rsidRPr="00AA272E">
              <w:rPr>
                <w:rFonts w:ascii="Calibri" w:eastAsia="Times New Roman" w:hAnsi="Calibri" w:cs="Calibri"/>
                <w:b/>
                <w:bCs/>
                <w:kern w:val="0"/>
                <w:sz w:val="20"/>
                <w:szCs w:val="20"/>
                <w:lang w:eastAsia="en-GB"/>
                <w14:ligatures w14:val="none"/>
              </w:rPr>
              <w:t xml:space="preserve"> (June 2026)</w:t>
            </w:r>
          </w:p>
        </w:tc>
      </w:tr>
      <w:tr w:rsidR="00AA272E" w:rsidRPr="00AA272E" w14:paraId="767D70C1" w14:textId="77777777" w:rsidTr="00AA272E">
        <w:trPr>
          <w:trHeight w:val="510"/>
        </w:trPr>
        <w:tc>
          <w:tcPr>
            <w:tcW w:w="1371" w:type="dxa"/>
            <w:vMerge/>
            <w:vAlign w:val="center"/>
            <w:hideMark/>
          </w:tcPr>
          <w:p w14:paraId="2DE76F7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2ABE62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37A80E7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2.1.2 Simplify and harmonise requirements to register and operate country-wide</w:t>
            </w:r>
          </w:p>
        </w:tc>
        <w:tc>
          <w:tcPr>
            <w:tcW w:w="8930" w:type="dxa"/>
            <w:shd w:val="clear" w:color="auto" w:fill="auto"/>
            <w:vAlign w:val="center"/>
            <w:hideMark/>
          </w:tcPr>
          <w:p w14:paraId="453F2DCA"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Entities adopt and implement the necessary harmonized regulation allowing Mutual recognition of licenses and certificates between the entities adopted and implemented (</w:t>
            </w:r>
            <w:r w:rsidRPr="00AA272E">
              <w:rPr>
                <w:rFonts w:ascii="Calibri" w:eastAsia="Times New Roman" w:hAnsi="Calibri" w:cs="Calibri"/>
                <w:b/>
                <w:bCs/>
                <w:kern w:val="0"/>
                <w:sz w:val="20"/>
                <w:szCs w:val="20"/>
                <w:lang w:eastAsia="en-GB"/>
                <w14:ligatures w14:val="none"/>
              </w:rPr>
              <w:t>December 2027</w:t>
            </w:r>
            <w:r w:rsidRPr="00AA272E">
              <w:rPr>
                <w:rFonts w:ascii="Calibri" w:eastAsia="Times New Roman" w:hAnsi="Calibri" w:cs="Calibri"/>
                <w:kern w:val="0"/>
                <w:sz w:val="20"/>
                <w:szCs w:val="20"/>
                <w:lang w:eastAsia="en-GB"/>
                <w14:ligatures w14:val="none"/>
              </w:rPr>
              <w:t>)</w:t>
            </w:r>
          </w:p>
        </w:tc>
      </w:tr>
      <w:tr w:rsidR="00AA272E" w:rsidRPr="00AA272E" w14:paraId="5CA7624C" w14:textId="77777777" w:rsidTr="00AA272E">
        <w:trPr>
          <w:trHeight w:val="825"/>
        </w:trPr>
        <w:tc>
          <w:tcPr>
            <w:tcW w:w="1371" w:type="dxa"/>
            <w:vMerge/>
            <w:vAlign w:val="center"/>
            <w:hideMark/>
          </w:tcPr>
          <w:p w14:paraId="455B9B9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66BE27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3DBD26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3324D90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E-registration enabled and functional across all respective levels of authority, including all preconditions related to e-</w:t>
            </w:r>
            <w:r w:rsidRPr="00AA272E">
              <w:rPr>
                <w:rFonts w:ascii="Calibri" w:eastAsia="Times New Roman" w:hAnsi="Calibri" w:cs="Calibri"/>
                <w:strike/>
                <w:color w:val="0078D4"/>
                <w:kern w:val="0"/>
                <w:sz w:val="20"/>
                <w:szCs w:val="20"/>
                <w:lang w:eastAsia="en-GB"/>
                <w14:ligatures w14:val="none"/>
              </w:rPr>
              <w:t xml:space="preserve"> </w:t>
            </w:r>
            <w:r w:rsidRPr="00AA272E">
              <w:rPr>
                <w:rFonts w:ascii="Calibri" w:eastAsia="Times New Roman" w:hAnsi="Calibri" w:cs="Calibri"/>
                <w:color w:val="000000"/>
                <w:kern w:val="0"/>
                <w:sz w:val="20"/>
                <w:szCs w:val="20"/>
                <w:lang w:eastAsia="en-GB"/>
                <w14:ligatures w14:val="none"/>
              </w:rPr>
              <w:t>signature/e stamps,</w:t>
            </w:r>
            <w:r w:rsidRPr="00AA272E">
              <w:rPr>
                <w:rFonts w:ascii="Times New Roman" w:eastAsia="Times New Roman" w:hAnsi="Times New Roman" w:cs="Times New Roman"/>
                <w:color w:val="000000"/>
                <w:kern w:val="0"/>
                <w:sz w:val="24"/>
                <w:szCs w:val="24"/>
                <w:lang w:eastAsia="en-GB"/>
                <w14:ligatures w14:val="none"/>
              </w:rPr>
              <w:t xml:space="preserve"> </w:t>
            </w:r>
            <w:r w:rsidRPr="00AA272E">
              <w:rPr>
                <w:rFonts w:ascii="Calibri" w:eastAsia="Times New Roman" w:hAnsi="Calibri" w:cs="Calibri"/>
                <w:color w:val="000000"/>
                <w:kern w:val="0"/>
                <w:sz w:val="20"/>
                <w:szCs w:val="20"/>
                <w:lang w:eastAsia="en-GB"/>
                <w14:ligatures w14:val="none"/>
              </w:rPr>
              <w:t>enabling insight into companies' registration data (</w:t>
            </w:r>
            <w:r w:rsidRPr="00AA272E">
              <w:rPr>
                <w:rFonts w:ascii="Calibri" w:eastAsia="Times New Roman" w:hAnsi="Calibri" w:cs="Calibri"/>
                <w:b/>
                <w:bCs/>
                <w:color w:val="000000"/>
                <w:kern w:val="0"/>
                <w:sz w:val="20"/>
                <w:szCs w:val="20"/>
                <w:lang w:eastAsia="en-GB"/>
                <w14:ligatures w14:val="none"/>
              </w:rPr>
              <w:t>December 2025</w:t>
            </w:r>
            <w:r w:rsidRPr="00AA272E">
              <w:rPr>
                <w:rFonts w:ascii="Calibri" w:eastAsia="Times New Roman" w:hAnsi="Calibri" w:cs="Calibri"/>
                <w:color w:val="000000"/>
                <w:kern w:val="0"/>
                <w:sz w:val="20"/>
                <w:szCs w:val="20"/>
                <w:lang w:eastAsia="en-GB"/>
                <w14:ligatures w14:val="none"/>
              </w:rPr>
              <w:t xml:space="preserve">) </w:t>
            </w:r>
          </w:p>
        </w:tc>
      </w:tr>
      <w:tr w:rsidR="00AA272E" w:rsidRPr="00AA272E" w14:paraId="71F7DDAB" w14:textId="77777777" w:rsidTr="00AA272E">
        <w:trPr>
          <w:trHeight w:val="330"/>
        </w:trPr>
        <w:tc>
          <w:tcPr>
            <w:tcW w:w="1371" w:type="dxa"/>
            <w:vMerge/>
            <w:vAlign w:val="center"/>
            <w:hideMark/>
          </w:tcPr>
          <w:p w14:paraId="1C72DD8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DA8FDF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7241E4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FABA96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NCTS at international level in use </w:t>
            </w:r>
            <w:r w:rsidRPr="00AA272E">
              <w:rPr>
                <w:rFonts w:ascii="Times New Roman" w:eastAsia="Times New Roman" w:hAnsi="Times New Roman" w:cs="Times New Roman"/>
                <w:color w:val="000000"/>
                <w:kern w:val="0"/>
                <w:sz w:val="24"/>
                <w:szCs w:val="24"/>
                <w:lang w:eastAsia="en-GB"/>
                <w14:ligatures w14:val="none"/>
              </w:rPr>
              <w:t>(</w:t>
            </w:r>
            <w:r w:rsidRPr="00AA272E">
              <w:rPr>
                <w:rFonts w:ascii="Calibri" w:eastAsia="Times New Roman" w:hAnsi="Calibri" w:cs="Calibri"/>
                <w:b/>
                <w:bCs/>
                <w:color w:val="000000"/>
                <w:kern w:val="0"/>
                <w:sz w:val="20"/>
                <w:szCs w:val="20"/>
                <w:lang w:eastAsia="en-GB"/>
                <w14:ligatures w14:val="none"/>
              </w:rPr>
              <w:t>December 2026</w:t>
            </w:r>
            <w:r w:rsidRPr="00AA272E">
              <w:rPr>
                <w:rFonts w:ascii="Times New Roman" w:eastAsia="Times New Roman" w:hAnsi="Times New Roman" w:cs="Times New Roman"/>
                <w:color w:val="000000"/>
                <w:kern w:val="0"/>
                <w:sz w:val="24"/>
                <w:szCs w:val="24"/>
                <w:lang w:eastAsia="en-GB"/>
                <w14:ligatures w14:val="none"/>
              </w:rPr>
              <w:t>)</w:t>
            </w:r>
          </w:p>
        </w:tc>
      </w:tr>
      <w:tr w:rsidR="00AA272E" w:rsidRPr="00AA272E" w14:paraId="27651645" w14:textId="77777777" w:rsidTr="00AA272E">
        <w:trPr>
          <w:trHeight w:val="765"/>
        </w:trPr>
        <w:tc>
          <w:tcPr>
            <w:tcW w:w="1371" w:type="dxa"/>
            <w:vMerge/>
            <w:vAlign w:val="center"/>
            <w:hideMark/>
          </w:tcPr>
          <w:p w14:paraId="4CFFEF6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18FBC5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5239872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2.1.3 Facilitate free movement of goods and services through reduced formalities, harmonisation of regulatory framework and mutual recognition of professional qualifications</w:t>
            </w:r>
          </w:p>
        </w:tc>
        <w:tc>
          <w:tcPr>
            <w:tcW w:w="8930" w:type="dxa"/>
            <w:shd w:val="clear" w:color="auto" w:fill="auto"/>
            <w:vAlign w:val="center"/>
            <w:hideMark/>
          </w:tcPr>
          <w:p w14:paraId="040402A6"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Country wide strategy for the quality infrastructure adopted, Law on Accreditation, Law on Market Surveillance and Consumer </w:t>
            </w:r>
            <w:proofErr w:type="gramStart"/>
            <w:r w:rsidRPr="00AA272E">
              <w:rPr>
                <w:rFonts w:ascii="Calibri" w:eastAsia="Times New Roman" w:hAnsi="Calibri" w:cs="Calibri"/>
                <w:kern w:val="0"/>
                <w:sz w:val="20"/>
                <w:szCs w:val="20"/>
                <w:lang w:eastAsia="en-GB"/>
                <w14:ligatures w14:val="none"/>
              </w:rPr>
              <w:t>Protection  legislation</w:t>
            </w:r>
            <w:proofErr w:type="gramEnd"/>
            <w:r w:rsidRPr="00AA272E">
              <w:rPr>
                <w:rFonts w:ascii="Calibri" w:eastAsia="Times New Roman" w:hAnsi="Calibri" w:cs="Calibri"/>
                <w:kern w:val="0"/>
                <w:sz w:val="20"/>
                <w:szCs w:val="20"/>
                <w:lang w:eastAsia="en-GB"/>
                <w14:ligatures w14:val="none"/>
              </w:rPr>
              <w:t xml:space="preserve"> in BiH in line with the most recent EU acquis adopted and implemented </w:t>
            </w:r>
            <w:r w:rsidRPr="00AA272E">
              <w:rPr>
                <w:rFonts w:ascii="Calibri" w:eastAsia="Times New Roman" w:hAnsi="Calibri" w:cs="Calibri"/>
                <w:b/>
                <w:bCs/>
                <w:kern w:val="0"/>
                <w:sz w:val="20"/>
                <w:szCs w:val="20"/>
                <w:lang w:eastAsia="en-GB"/>
                <w14:ligatures w14:val="none"/>
              </w:rPr>
              <w:t xml:space="preserve">(December 2025) </w:t>
            </w:r>
          </w:p>
        </w:tc>
      </w:tr>
      <w:tr w:rsidR="00AA272E" w:rsidRPr="00AA272E" w14:paraId="5350D03F" w14:textId="77777777" w:rsidTr="00AA272E">
        <w:trPr>
          <w:trHeight w:val="1275"/>
        </w:trPr>
        <w:tc>
          <w:tcPr>
            <w:tcW w:w="1371" w:type="dxa"/>
            <w:vMerge/>
            <w:vAlign w:val="center"/>
            <w:hideMark/>
          </w:tcPr>
          <w:p w14:paraId="6C140DD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864A4F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81A3F5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1FC1C9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The three CRM mobility agreements signed by WB6 leaders on 3 Nov. 2022 in Berlin: on Freedom of Movement with Identity Cards, on Recognition of Higher Education Qualifications, and on Recognition of Professional Qualifications for </w:t>
            </w:r>
            <w:proofErr w:type="gramStart"/>
            <w:r w:rsidRPr="00AA272E">
              <w:rPr>
                <w:rFonts w:ascii="Calibri" w:eastAsia="Times New Roman" w:hAnsi="Calibri" w:cs="Calibri"/>
                <w:color w:val="000000"/>
                <w:kern w:val="0"/>
                <w:sz w:val="20"/>
                <w:szCs w:val="20"/>
                <w:lang w:eastAsia="en-GB"/>
                <w14:ligatures w14:val="none"/>
              </w:rPr>
              <w:t>Doctors of Medicine</w:t>
            </w:r>
            <w:proofErr w:type="gramEnd"/>
            <w:r w:rsidRPr="00AA272E">
              <w:rPr>
                <w:rFonts w:ascii="Calibri" w:eastAsia="Times New Roman" w:hAnsi="Calibri" w:cs="Calibri"/>
                <w:color w:val="000000"/>
                <w:kern w:val="0"/>
                <w:sz w:val="20"/>
                <w:szCs w:val="20"/>
                <w:lang w:eastAsia="en-GB"/>
                <w14:ligatures w14:val="none"/>
              </w:rPr>
              <w:t>, Dentists and Architects; as well as the Agreement on Mutual Recognition of Professional Qualifications for Nurses, Veterinary Surgeons, Pharmacists and Midwives signed in Tirana on 17 Oct. 2023 adopted and ratified (</w:t>
            </w:r>
            <w:r w:rsidRPr="00AA272E">
              <w:rPr>
                <w:rFonts w:ascii="Calibri" w:eastAsia="Times New Roman" w:hAnsi="Calibri" w:cs="Calibri"/>
                <w:b/>
                <w:bCs/>
                <w:color w:val="000000"/>
                <w:kern w:val="0"/>
                <w:sz w:val="20"/>
                <w:szCs w:val="20"/>
                <w:lang w:eastAsia="en-GB"/>
                <w14:ligatures w14:val="none"/>
              </w:rPr>
              <w:t>December 2024</w:t>
            </w:r>
            <w:r w:rsidRPr="00AA272E">
              <w:rPr>
                <w:rFonts w:ascii="Calibri" w:eastAsia="Times New Roman" w:hAnsi="Calibri" w:cs="Calibri"/>
                <w:color w:val="000000"/>
                <w:kern w:val="0"/>
                <w:sz w:val="20"/>
                <w:szCs w:val="20"/>
                <w:lang w:eastAsia="en-GB"/>
                <w14:ligatures w14:val="none"/>
              </w:rPr>
              <w:t>)</w:t>
            </w:r>
          </w:p>
        </w:tc>
      </w:tr>
      <w:tr w:rsidR="00AA272E" w:rsidRPr="00AA272E" w14:paraId="126ECA72" w14:textId="77777777" w:rsidTr="00AA272E">
        <w:trPr>
          <w:trHeight w:val="765"/>
        </w:trPr>
        <w:tc>
          <w:tcPr>
            <w:tcW w:w="1371" w:type="dxa"/>
            <w:vMerge/>
            <w:vAlign w:val="center"/>
            <w:hideMark/>
          </w:tcPr>
          <w:p w14:paraId="5E51F02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876FE4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804E7A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F376B39"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New Approach Directives in selected minimum three industrial fields annually transposed and framework for recognition of professional qualifications for 7 professions based on the EU system of automatic recognition adopted and implemented by the competent authorities</w:t>
            </w:r>
            <w:r w:rsidRPr="00AA272E">
              <w:rPr>
                <w:rFonts w:ascii="Calibri" w:eastAsia="Times New Roman" w:hAnsi="Calibri" w:cs="Calibri"/>
                <w:b/>
                <w:bCs/>
                <w:kern w:val="0"/>
                <w:sz w:val="20"/>
                <w:szCs w:val="20"/>
                <w:lang w:eastAsia="en-GB"/>
                <w14:ligatures w14:val="none"/>
              </w:rPr>
              <w:t>.</w:t>
            </w:r>
            <w:r w:rsidRPr="00AA272E">
              <w:rPr>
                <w:rFonts w:ascii="Calibri" w:eastAsia="Times New Roman" w:hAnsi="Calibri" w:cs="Calibri"/>
                <w:kern w:val="0"/>
                <w:sz w:val="20"/>
                <w:szCs w:val="20"/>
                <w:lang w:eastAsia="en-GB"/>
                <w14:ligatures w14:val="none"/>
              </w:rPr>
              <w:t xml:space="preserve"> (</w:t>
            </w:r>
            <w:r w:rsidRPr="00AA272E">
              <w:rPr>
                <w:rFonts w:ascii="Calibri" w:eastAsia="Times New Roman" w:hAnsi="Calibri" w:cs="Calibri"/>
                <w:b/>
                <w:bCs/>
                <w:kern w:val="0"/>
                <w:sz w:val="20"/>
                <w:szCs w:val="20"/>
                <w:lang w:eastAsia="en-GB"/>
                <w14:ligatures w14:val="none"/>
              </w:rPr>
              <w:t>June 2025</w:t>
            </w:r>
            <w:r w:rsidRPr="00AA272E">
              <w:rPr>
                <w:rFonts w:ascii="Calibri" w:eastAsia="Times New Roman" w:hAnsi="Calibri" w:cs="Calibri"/>
                <w:kern w:val="0"/>
                <w:sz w:val="20"/>
                <w:szCs w:val="20"/>
                <w:lang w:eastAsia="en-GB"/>
                <w14:ligatures w14:val="none"/>
              </w:rPr>
              <w:t>)</w:t>
            </w:r>
          </w:p>
        </w:tc>
      </w:tr>
      <w:tr w:rsidR="00AA272E" w:rsidRPr="00AA272E" w14:paraId="07BBF6FA" w14:textId="77777777" w:rsidTr="00AA272E">
        <w:trPr>
          <w:trHeight w:val="510"/>
        </w:trPr>
        <w:tc>
          <w:tcPr>
            <w:tcW w:w="1371" w:type="dxa"/>
            <w:vMerge/>
            <w:vAlign w:val="center"/>
            <w:hideMark/>
          </w:tcPr>
          <w:p w14:paraId="3F59309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BA9B4A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884FD9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1010177" w14:textId="77777777" w:rsidR="00AA272E" w:rsidRPr="00AA272E" w:rsidRDefault="00AA272E" w:rsidP="00AA272E">
            <w:pPr>
              <w:spacing w:after="0" w:line="240" w:lineRule="auto"/>
              <w:jc w:val="both"/>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Mutual Recognition Programmes (MRPs) for industrial products in line with the EU acquis (electromagnetic compatibility, machinery and construction) adopted and implemented (</w:t>
            </w:r>
            <w:r w:rsidRPr="00AA272E">
              <w:rPr>
                <w:rFonts w:ascii="Calibri" w:eastAsia="Times New Roman" w:hAnsi="Calibri" w:cs="Calibri"/>
                <w:b/>
                <w:bCs/>
                <w:color w:val="000000"/>
                <w:kern w:val="0"/>
                <w:sz w:val="20"/>
                <w:szCs w:val="20"/>
                <w:lang w:eastAsia="en-GB"/>
                <w14:ligatures w14:val="none"/>
              </w:rPr>
              <w:t>June 2026</w:t>
            </w:r>
            <w:r w:rsidRPr="00AA272E">
              <w:rPr>
                <w:rFonts w:ascii="Calibri" w:eastAsia="Times New Roman" w:hAnsi="Calibri" w:cs="Calibri"/>
                <w:color w:val="000000"/>
                <w:kern w:val="0"/>
                <w:sz w:val="20"/>
                <w:szCs w:val="20"/>
                <w:lang w:eastAsia="en-GB"/>
                <w14:ligatures w14:val="none"/>
              </w:rPr>
              <w:t>)</w:t>
            </w:r>
          </w:p>
        </w:tc>
      </w:tr>
      <w:tr w:rsidR="00AA272E" w:rsidRPr="00AA272E" w14:paraId="6F2DD67D" w14:textId="77777777" w:rsidTr="00AA272E">
        <w:trPr>
          <w:trHeight w:val="780"/>
        </w:trPr>
        <w:tc>
          <w:tcPr>
            <w:tcW w:w="1371" w:type="dxa"/>
            <w:vMerge/>
            <w:vAlign w:val="center"/>
            <w:hideMark/>
          </w:tcPr>
          <w:p w14:paraId="50FE844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F24644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227567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A2C5A22" w14:textId="77777777" w:rsidR="00AA272E" w:rsidRPr="00AA272E" w:rsidRDefault="00AA272E" w:rsidP="00AA272E">
            <w:pPr>
              <w:spacing w:after="0" w:line="240" w:lineRule="auto"/>
              <w:jc w:val="both"/>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Full transposition of the EU Directive on services in the internal market into legislation in Bosnia and Herzegovina, including the establishment of Contact Points for the provision of services at every level of government in BiH, which will be interconnected (</w:t>
            </w:r>
            <w:r w:rsidRPr="00AA272E">
              <w:rPr>
                <w:rFonts w:ascii="Calibri" w:eastAsia="Times New Roman" w:hAnsi="Calibri" w:cs="Calibri"/>
                <w:b/>
                <w:bCs/>
                <w:color w:val="000000"/>
                <w:kern w:val="0"/>
                <w:sz w:val="20"/>
                <w:szCs w:val="20"/>
                <w:lang w:eastAsia="en-GB"/>
                <w14:ligatures w14:val="none"/>
              </w:rPr>
              <w:t>June 2026</w:t>
            </w:r>
            <w:r w:rsidRPr="00AA272E">
              <w:rPr>
                <w:rFonts w:ascii="Calibri" w:eastAsia="Times New Roman" w:hAnsi="Calibri" w:cs="Calibri"/>
                <w:color w:val="000000"/>
                <w:kern w:val="0"/>
                <w:sz w:val="20"/>
                <w:szCs w:val="20"/>
                <w:lang w:eastAsia="en-GB"/>
                <w14:ligatures w14:val="none"/>
              </w:rPr>
              <w:t>)</w:t>
            </w:r>
          </w:p>
        </w:tc>
      </w:tr>
      <w:tr w:rsidR="00AA272E" w:rsidRPr="00AA272E" w14:paraId="7D9A5723" w14:textId="77777777" w:rsidTr="00AA272E">
        <w:trPr>
          <w:trHeight w:val="510"/>
        </w:trPr>
        <w:tc>
          <w:tcPr>
            <w:tcW w:w="1371" w:type="dxa"/>
            <w:vMerge/>
            <w:vAlign w:val="center"/>
            <w:hideMark/>
          </w:tcPr>
          <w:p w14:paraId="4C8A6F3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5D8BFA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173E735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2.1.4 Simplify processes to facilitate an enabling business environment </w:t>
            </w:r>
          </w:p>
        </w:tc>
        <w:tc>
          <w:tcPr>
            <w:tcW w:w="8930" w:type="dxa"/>
            <w:shd w:val="clear" w:color="auto" w:fill="auto"/>
            <w:vAlign w:val="center"/>
            <w:hideMark/>
          </w:tcPr>
          <w:p w14:paraId="51DBB7A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Register of beneficial ownership established and fully functional across all respective level of authority, in line with the EU acquis</w:t>
            </w:r>
            <w:r w:rsidRPr="00AA272E">
              <w:rPr>
                <w:rFonts w:ascii="Calibri" w:eastAsia="Times New Roman" w:hAnsi="Calibri" w:cs="Calibri"/>
                <w:kern w:val="0"/>
                <w:sz w:val="20"/>
                <w:szCs w:val="20"/>
                <w:lang w:eastAsia="en-GB"/>
                <w14:ligatures w14:val="none"/>
              </w:rPr>
              <w:t xml:space="preserve"> </w:t>
            </w:r>
            <w:r w:rsidRPr="00AA272E">
              <w:rPr>
                <w:rFonts w:ascii="Calibri" w:eastAsia="Times New Roman" w:hAnsi="Calibri" w:cs="Calibri"/>
                <w:b/>
                <w:bCs/>
                <w:kern w:val="0"/>
                <w:sz w:val="20"/>
                <w:szCs w:val="20"/>
                <w:lang w:eastAsia="en-GB"/>
                <w14:ligatures w14:val="none"/>
              </w:rPr>
              <w:t>(June 2025)</w:t>
            </w:r>
          </w:p>
        </w:tc>
      </w:tr>
      <w:tr w:rsidR="00AA272E" w:rsidRPr="00AA272E" w14:paraId="5F8B1CAF" w14:textId="77777777" w:rsidTr="00AA272E">
        <w:trPr>
          <w:trHeight w:val="510"/>
        </w:trPr>
        <w:tc>
          <w:tcPr>
            <w:tcW w:w="1371" w:type="dxa"/>
            <w:vMerge/>
            <w:vAlign w:val="center"/>
            <w:hideMark/>
          </w:tcPr>
          <w:p w14:paraId="250DC39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C1544A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6F7C1D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9D422A9"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The domestic legislation that conflicts with EU legislation, including ex-Yu standards that conflict with those aligned with European standards mapped and repealed countrywide (</w:t>
            </w:r>
            <w:r w:rsidRPr="00AA272E">
              <w:rPr>
                <w:rFonts w:ascii="Calibri" w:eastAsia="Times New Roman" w:hAnsi="Calibri" w:cs="Calibri"/>
                <w:b/>
                <w:bCs/>
                <w:kern w:val="0"/>
                <w:sz w:val="20"/>
                <w:szCs w:val="20"/>
                <w:lang w:eastAsia="en-GB"/>
                <w14:ligatures w14:val="none"/>
              </w:rPr>
              <w:t>June 2027)</w:t>
            </w:r>
          </w:p>
        </w:tc>
      </w:tr>
      <w:tr w:rsidR="00AA272E" w:rsidRPr="00AA272E" w14:paraId="1B31D6A9" w14:textId="77777777" w:rsidTr="00AA272E">
        <w:trPr>
          <w:trHeight w:val="510"/>
        </w:trPr>
        <w:tc>
          <w:tcPr>
            <w:tcW w:w="1371" w:type="dxa"/>
            <w:vMerge/>
            <w:vAlign w:val="center"/>
            <w:hideMark/>
          </w:tcPr>
          <w:p w14:paraId="76D83F1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0FA17B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56BF1A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923C79A"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Regional measures against geo-blocking, regional trade facilitation measures for parcels based on EU practices (e.g. VAT e-commerce package), and WCO standards adopted (</w:t>
            </w:r>
            <w:r w:rsidRPr="00AA272E">
              <w:rPr>
                <w:rFonts w:ascii="Calibri" w:eastAsia="Times New Roman" w:hAnsi="Calibri" w:cs="Calibri"/>
                <w:b/>
                <w:bCs/>
                <w:kern w:val="0"/>
                <w:sz w:val="20"/>
                <w:szCs w:val="20"/>
                <w:lang w:eastAsia="en-GB"/>
                <w14:ligatures w14:val="none"/>
              </w:rPr>
              <w:t>June 2027</w:t>
            </w:r>
            <w:r w:rsidRPr="00AA272E">
              <w:rPr>
                <w:rFonts w:ascii="Calibri" w:eastAsia="Times New Roman" w:hAnsi="Calibri" w:cs="Calibri"/>
                <w:kern w:val="0"/>
                <w:sz w:val="20"/>
                <w:szCs w:val="20"/>
                <w:lang w:eastAsia="en-GB"/>
                <w14:ligatures w14:val="none"/>
              </w:rPr>
              <w:t>)</w:t>
            </w:r>
          </w:p>
        </w:tc>
      </w:tr>
      <w:tr w:rsidR="00AA272E" w:rsidRPr="00AA272E" w14:paraId="72A1EFE7" w14:textId="77777777" w:rsidTr="00AA272E">
        <w:trPr>
          <w:trHeight w:val="825"/>
        </w:trPr>
        <w:tc>
          <w:tcPr>
            <w:tcW w:w="1371" w:type="dxa"/>
            <w:vMerge/>
            <w:vAlign w:val="center"/>
            <w:hideMark/>
          </w:tcPr>
          <w:p w14:paraId="6204DBA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F6B495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1EA81B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C7F89AD"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Dispute resolution framework improved and harmonised by adopting set of Laws for alternative dispute resolution across all respective levels of authority and implemented (i.e.  Law on Mediation Procedure, Law on Arbitration, Law on Alternative Dispute Resolution)</w:t>
            </w:r>
            <w:r w:rsidRPr="00AA272E">
              <w:rPr>
                <w:rFonts w:ascii="Calibri" w:eastAsia="Times New Roman" w:hAnsi="Calibri" w:cs="Calibri"/>
                <w:kern w:val="0"/>
                <w:sz w:val="24"/>
                <w:szCs w:val="24"/>
                <w:lang w:eastAsia="en-GB"/>
                <w14:ligatures w14:val="none"/>
              </w:rPr>
              <w:t> </w:t>
            </w:r>
            <w:r w:rsidRPr="00AA272E">
              <w:rPr>
                <w:rFonts w:ascii="Calibri" w:eastAsia="Times New Roman" w:hAnsi="Calibri" w:cs="Calibri"/>
                <w:kern w:val="0"/>
                <w:sz w:val="20"/>
                <w:szCs w:val="20"/>
                <w:lang w:eastAsia="en-GB"/>
                <w14:ligatures w14:val="none"/>
              </w:rPr>
              <w:t>(</w:t>
            </w:r>
            <w:r w:rsidRPr="00AA272E">
              <w:rPr>
                <w:rFonts w:ascii="Calibri" w:eastAsia="Times New Roman" w:hAnsi="Calibri" w:cs="Calibri"/>
                <w:b/>
                <w:bCs/>
                <w:kern w:val="0"/>
                <w:sz w:val="20"/>
                <w:szCs w:val="20"/>
                <w:lang w:eastAsia="en-GB"/>
                <w14:ligatures w14:val="none"/>
              </w:rPr>
              <w:t>December 2026</w:t>
            </w:r>
            <w:r w:rsidRPr="00AA272E">
              <w:rPr>
                <w:rFonts w:ascii="Calibri" w:eastAsia="Times New Roman" w:hAnsi="Calibri" w:cs="Calibri"/>
                <w:kern w:val="0"/>
                <w:sz w:val="20"/>
                <w:szCs w:val="20"/>
                <w:lang w:eastAsia="en-GB"/>
                <w14:ligatures w14:val="none"/>
              </w:rPr>
              <w:t>)</w:t>
            </w:r>
          </w:p>
        </w:tc>
      </w:tr>
      <w:tr w:rsidR="00AA272E" w:rsidRPr="00AA272E" w14:paraId="7584A19D" w14:textId="77777777" w:rsidTr="00AA272E">
        <w:trPr>
          <w:trHeight w:val="585"/>
        </w:trPr>
        <w:tc>
          <w:tcPr>
            <w:tcW w:w="1371" w:type="dxa"/>
            <w:vMerge/>
            <w:vAlign w:val="center"/>
            <w:hideMark/>
          </w:tcPr>
          <w:p w14:paraId="497D697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B44513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6EBF03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46C1E6B"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AML/CFT Law and bylaws implemented and a minimum of 80% compliance score with EU AML/CFT standards in international assessments achieved</w:t>
            </w:r>
            <w:r w:rsidRPr="00AA272E">
              <w:rPr>
                <w:rFonts w:ascii="Calibri" w:eastAsia="Times New Roman" w:hAnsi="Calibri" w:cs="Calibri"/>
                <w:kern w:val="0"/>
                <w:sz w:val="24"/>
                <w:szCs w:val="24"/>
                <w:lang w:eastAsia="en-GB"/>
                <w14:ligatures w14:val="none"/>
              </w:rPr>
              <w:t> </w:t>
            </w:r>
            <w:r w:rsidRPr="00AA272E">
              <w:rPr>
                <w:rFonts w:ascii="Calibri" w:eastAsia="Times New Roman" w:hAnsi="Calibri" w:cs="Calibri"/>
                <w:kern w:val="0"/>
                <w:sz w:val="20"/>
                <w:szCs w:val="20"/>
                <w:lang w:eastAsia="en-GB"/>
                <w14:ligatures w14:val="none"/>
              </w:rPr>
              <w:t>(</w:t>
            </w:r>
            <w:r w:rsidRPr="00AA272E">
              <w:rPr>
                <w:rFonts w:ascii="Calibri" w:eastAsia="Times New Roman" w:hAnsi="Calibri" w:cs="Calibri"/>
                <w:b/>
                <w:bCs/>
                <w:kern w:val="0"/>
                <w:sz w:val="20"/>
                <w:szCs w:val="20"/>
                <w:lang w:eastAsia="en-GB"/>
                <w14:ligatures w14:val="none"/>
              </w:rPr>
              <w:t>June 2027</w:t>
            </w:r>
            <w:r w:rsidRPr="00AA272E">
              <w:rPr>
                <w:rFonts w:ascii="Calibri" w:eastAsia="Times New Roman" w:hAnsi="Calibri" w:cs="Calibri"/>
                <w:kern w:val="0"/>
                <w:sz w:val="20"/>
                <w:szCs w:val="20"/>
                <w:lang w:eastAsia="en-GB"/>
                <w14:ligatures w14:val="none"/>
              </w:rPr>
              <w:t>)</w:t>
            </w:r>
          </w:p>
        </w:tc>
      </w:tr>
      <w:tr w:rsidR="00AA272E" w:rsidRPr="00AA272E" w14:paraId="42B54CC1" w14:textId="77777777" w:rsidTr="00AA272E">
        <w:trPr>
          <w:trHeight w:val="510"/>
        </w:trPr>
        <w:tc>
          <w:tcPr>
            <w:tcW w:w="1371" w:type="dxa"/>
            <w:vMerge/>
            <w:vAlign w:val="center"/>
            <w:hideMark/>
          </w:tcPr>
          <w:p w14:paraId="7C38F76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078DFF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28342E8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2.1.5 Deployment of e-freight and Intelligent Transport Systems</w:t>
            </w:r>
          </w:p>
        </w:tc>
        <w:tc>
          <w:tcPr>
            <w:tcW w:w="8930" w:type="dxa"/>
            <w:shd w:val="clear" w:color="auto" w:fill="auto"/>
            <w:vAlign w:val="center"/>
            <w:hideMark/>
          </w:tcPr>
          <w:p w14:paraId="74EA45F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Aligned with Regulation (EU) 2020/1056 on electronic freight transport information (</w:t>
            </w:r>
            <w:proofErr w:type="spellStart"/>
            <w:r w:rsidRPr="00AA272E">
              <w:rPr>
                <w:rFonts w:ascii="Calibri" w:eastAsia="Times New Roman" w:hAnsi="Calibri" w:cs="Calibri"/>
                <w:color w:val="000000"/>
                <w:kern w:val="0"/>
                <w:sz w:val="20"/>
                <w:szCs w:val="20"/>
                <w:lang w:eastAsia="en-GB"/>
                <w14:ligatures w14:val="none"/>
              </w:rPr>
              <w:t>eFTI</w:t>
            </w:r>
            <w:proofErr w:type="spellEnd"/>
            <w:r w:rsidRPr="00AA272E">
              <w:rPr>
                <w:rFonts w:ascii="Calibri" w:eastAsia="Times New Roman" w:hAnsi="Calibri" w:cs="Calibri"/>
                <w:color w:val="000000"/>
                <w:kern w:val="0"/>
                <w:sz w:val="20"/>
                <w:szCs w:val="20"/>
                <w:lang w:eastAsia="en-GB"/>
                <w14:ligatures w14:val="none"/>
              </w:rPr>
              <w:t>) (</w:t>
            </w:r>
            <w:r w:rsidRPr="00AA272E">
              <w:rPr>
                <w:rFonts w:ascii="Calibri" w:eastAsia="Times New Roman" w:hAnsi="Calibri" w:cs="Calibri"/>
                <w:b/>
                <w:bCs/>
                <w:color w:val="000000"/>
                <w:kern w:val="0"/>
                <w:sz w:val="20"/>
                <w:szCs w:val="20"/>
                <w:lang w:eastAsia="en-GB"/>
                <w14:ligatures w14:val="none"/>
              </w:rPr>
              <w:t>December 2025</w:t>
            </w:r>
            <w:r w:rsidRPr="00AA272E">
              <w:rPr>
                <w:rFonts w:ascii="Calibri" w:eastAsia="Times New Roman" w:hAnsi="Calibri" w:cs="Calibri"/>
                <w:color w:val="000000"/>
                <w:kern w:val="0"/>
                <w:sz w:val="20"/>
                <w:szCs w:val="20"/>
                <w:lang w:eastAsia="en-GB"/>
                <w14:ligatures w14:val="none"/>
              </w:rPr>
              <w:t>)</w:t>
            </w:r>
          </w:p>
        </w:tc>
      </w:tr>
      <w:tr w:rsidR="00AA272E" w:rsidRPr="00AA272E" w14:paraId="761FA28B" w14:textId="77777777" w:rsidTr="00AA272E">
        <w:trPr>
          <w:trHeight w:val="300"/>
        </w:trPr>
        <w:tc>
          <w:tcPr>
            <w:tcW w:w="1371" w:type="dxa"/>
            <w:vMerge/>
            <w:vAlign w:val="center"/>
            <w:hideMark/>
          </w:tcPr>
          <w:p w14:paraId="404E5F0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9A0845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E0277B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FB78D74"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Road international convention (</w:t>
            </w:r>
            <w:proofErr w:type="spellStart"/>
            <w:r w:rsidRPr="00AA272E">
              <w:rPr>
                <w:rFonts w:ascii="Calibri" w:eastAsia="Times New Roman" w:hAnsi="Calibri" w:cs="Calibri"/>
                <w:kern w:val="0"/>
                <w:sz w:val="20"/>
                <w:szCs w:val="20"/>
                <w:lang w:eastAsia="en-GB"/>
                <w14:ligatures w14:val="none"/>
              </w:rPr>
              <w:t>eCMR</w:t>
            </w:r>
            <w:proofErr w:type="spellEnd"/>
            <w:r w:rsidRPr="00AA272E">
              <w:rPr>
                <w:rFonts w:ascii="Calibri" w:eastAsia="Times New Roman" w:hAnsi="Calibri" w:cs="Calibri"/>
                <w:kern w:val="0"/>
                <w:sz w:val="20"/>
                <w:szCs w:val="20"/>
                <w:lang w:eastAsia="en-GB"/>
                <w14:ligatures w14:val="none"/>
              </w:rPr>
              <w:t xml:space="preserve">) needed to deploy </w:t>
            </w:r>
            <w:proofErr w:type="spellStart"/>
            <w:r w:rsidRPr="00AA272E">
              <w:rPr>
                <w:rFonts w:ascii="Calibri" w:eastAsia="Times New Roman" w:hAnsi="Calibri" w:cs="Calibri"/>
                <w:kern w:val="0"/>
                <w:sz w:val="20"/>
                <w:szCs w:val="20"/>
                <w:lang w:eastAsia="en-GB"/>
                <w14:ligatures w14:val="none"/>
              </w:rPr>
              <w:t>eFTI</w:t>
            </w:r>
            <w:proofErr w:type="spellEnd"/>
            <w:r w:rsidRPr="00AA272E">
              <w:rPr>
                <w:rFonts w:ascii="Calibri" w:eastAsia="Times New Roman" w:hAnsi="Calibri" w:cs="Calibri"/>
                <w:kern w:val="0"/>
                <w:sz w:val="20"/>
                <w:szCs w:val="20"/>
                <w:lang w:eastAsia="en-GB"/>
                <w14:ligatures w14:val="none"/>
              </w:rPr>
              <w:t xml:space="preserve"> ratified (</w:t>
            </w:r>
            <w:r w:rsidRPr="00AA272E">
              <w:rPr>
                <w:rFonts w:ascii="Calibri" w:eastAsia="Times New Roman" w:hAnsi="Calibri" w:cs="Calibri"/>
                <w:b/>
                <w:bCs/>
                <w:kern w:val="0"/>
                <w:sz w:val="20"/>
                <w:szCs w:val="20"/>
                <w:lang w:eastAsia="en-GB"/>
                <w14:ligatures w14:val="none"/>
              </w:rPr>
              <w:t>December 2025</w:t>
            </w:r>
            <w:r w:rsidRPr="00AA272E">
              <w:rPr>
                <w:rFonts w:ascii="Calibri" w:eastAsia="Times New Roman" w:hAnsi="Calibri" w:cs="Calibri"/>
                <w:kern w:val="0"/>
                <w:sz w:val="20"/>
                <w:szCs w:val="20"/>
                <w:lang w:eastAsia="en-GB"/>
                <w14:ligatures w14:val="none"/>
              </w:rPr>
              <w:t>)</w:t>
            </w:r>
          </w:p>
        </w:tc>
      </w:tr>
      <w:tr w:rsidR="00AA272E" w:rsidRPr="00AA272E" w14:paraId="4DAA36C3" w14:textId="77777777" w:rsidTr="00AA272E">
        <w:trPr>
          <w:trHeight w:val="300"/>
        </w:trPr>
        <w:tc>
          <w:tcPr>
            <w:tcW w:w="1371" w:type="dxa"/>
            <w:vMerge/>
            <w:vAlign w:val="center"/>
            <w:hideMark/>
          </w:tcPr>
          <w:p w14:paraId="36AB930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F352A9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5AEFC8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519B63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ITS frameworks and standards for road and rail implemented (</w:t>
            </w:r>
            <w:r w:rsidRPr="00AA272E">
              <w:rPr>
                <w:rFonts w:ascii="Calibri" w:eastAsia="Times New Roman" w:hAnsi="Calibri" w:cs="Calibri"/>
                <w:b/>
                <w:bCs/>
                <w:color w:val="000000"/>
                <w:kern w:val="0"/>
                <w:sz w:val="20"/>
                <w:szCs w:val="20"/>
                <w:lang w:eastAsia="en-GB"/>
                <w14:ligatures w14:val="none"/>
              </w:rPr>
              <w:t>December 2026</w:t>
            </w:r>
            <w:r w:rsidRPr="00AA272E">
              <w:rPr>
                <w:rFonts w:ascii="Calibri" w:eastAsia="Times New Roman" w:hAnsi="Calibri" w:cs="Calibri"/>
                <w:color w:val="000000"/>
                <w:kern w:val="0"/>
                <w:sz w:val="20"/>
                <w:szCs w:val="20"/>
                <w:lang w:eastAsia="en-GB"/>
                <w14:ligatures w14:val="none"/>
              </w:rPr>
              <w:t>)</w:t>
            </w:r>
          </w:p>
        </w:tc>
      </w:tr>
      <w:tr w:rsidR="00AA272E" w:rsidRPr="00AA272E" w14:paraId="578F33C2" w14:textId="77777777" w:rsidTr="00AA272E">
        <w:trPr>
          <w:trHeight w:val="510"/>
        </w:trPr>
        <w:tc>
          <w:tcPr>
            <w:tcW w:w="1371" w:type="dxa"/>
            <w:vMerge/>
            <w:vAlign w:val="center"/>
            <w:hideMark/>
          </w:tcPr>
          <w:p w14:paraId="1603B4F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741AD8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DAA4F4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9AF7A8F"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Waiting time at BCPs and CCPs reduced by </w:t>
            </w:r>
            <w:r w:rsidRPr="00AA272E">
              <w:rPr>
                <w:rFonts w:ascii="Calibri" w:eastAsia="Times New Roman" w:hAnsi="Calibri" w:cs="Calibri"/>
                <w:b/>
                <w:bCs/>
                <w:kern w:val="0"/>
                <w:sz w:val="20"/>
                <w:szCs w:val="20"/>
                <w:lang w:eastAsia="en-GB"/>
                <w14:ligatures w14:val="none"/>
              </w:rPr>
              <w:t>50%</w:t>
            </w:r>
            <w:r w:rsidRPr="00AA272E">
              <w:rPr>
                <w:rFonts w:ascii="Calibri" w:eastAsia="Times New Roman" w:hAnsi="Calibri" w:cs="Calibri"/>
                <w:kern w:val="0"/>
                <w:sz w:val="20"/>
                <w:szCs w:val="20"/>
                <w:lang w:eastAsia="en-GB"/>
                <w14:ligatures w14:val="none"/>
              </w:rPr>
              <w:t xml:space="preserve"> </w:t>
            </w:r>
            <w:proofErr w:type="gramStart"/>
            <w:r w:rsidRPr="00AA272E">
              <w:rPr>
                <w:rFonts w:ascii="Calibri" w:eastAsia="Times New Roman" w:hAnsi="Calibri" w:cs="Calibri"/>
                <w:kern w:val="0"/>
                <w:sz w:val="20"/>
                <w:szCs w:val="20"/>
                <w:lang w:eastAsia="en-GB"/>
                <w14:ligatures w14:val="none"/>
              </w:rPr>
              <w:t>as a result of</w:t>
            </w:r>
            <w:proofErr w:type="gramEnd"/>
            <w:r w:rsidRPr="00AA272E">
              <w:rPr>
                <w:rFonts w:ascii="Calibri" w:eastAsia="Times New Roman" w:hAnsi="Calibri" w:cs="Calibri"/>
                <w:kern w:val="0"/>
                <w:sz w:val="20"/>
                <w:szCs w:val="20"/>
                <w:lang w:eastAsia="en-GB"/>
                <w14:ligatures w14:val="none"/>
              </w:rPr>
              <w:t xml:space="preserve"> using the e-freight system (intra Western Balkans only) (</w:t>
            </w:r>
            <w:r w:rsidRPr="00AA272E">
              <w:rPr>
                <w:rFonts w:ascii="Calibri" w:eastAsia="Times New Roman" w:hAnsi="Calibri" w:cs="Calibri"/>
                <w:b/>
                <w:bCs/>
                <w:kern w:val="0"/>
                <w:sz w:val="20"/>
                <w:szCs w:val="20"/>
                <w:lang w:eastAsia="en-GB"/>
                <w14:ligatures w14:val="none"/>
              </w:rPr>
              <w:t>December 2027</w:t>
            </w:r>
            <w:r w:rsidRPr="00AA272E">
              <w:rPr>
                <w:rFonts w:ascii="Calibri" w:eastAsia="Times New Roman" w:hAnsi="Calibri" w:cs="Calibri"/>
                <w:kern w:val="0"/>
                <w:sz w:val="20"/>
                <w:szCs w:val="20"/>
                <w:lang w:eastAsia="en-GB"/>
                <w14:ligatures w14:val="none"/>
              </w:rPr>
              <w:t>)</w:t>
            </w:r>
          </w:p>
        </w:tc>
      </w:tr>
      <w:tr w:rsidR="00AA272E" w:rsidRPr="00AA272E" w14:paraId="1366C1BC" w14:textId="77777777" w:rsidTr="00AA272E">
        <w:trPr>
          <w:trHeight w:val="315"/>
        </w:trPr>
        <w:tc>
          <w:tcPr>
            <w:tcW w:w="1371" w:type="dxa"/>
            <w:vMerge/>
            <w:vAlign w:val="center"/>
            <w:hideMark/>
          </w:tcPr>
          <w:p w14:paraId="2BC1720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740DE4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E9CDC5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2BD70B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ITS on X Kms of the TEN-T road network is operational (</w:t>
            </w:r>
            <w:r w:rsidRPr="00AA272E">
              <w:rPr>
                <w:rFonts w:ascii="Calibri" w:eastAsia="Times New Roman" w:hAnsi="Calibri" w:cs="Calibri"/>
                <w:b/>
                <w:bCs/>
                <w:color w:val="000000"/>
                <w:kern w:val="0"/>
                <w:sz w:val="20"/>
                <w:szCs w:val="20"/>
                <w:lang w:eastAsia="en-GB"/>
                <w14:ligatures w14:val="none"/>
              </w:rPr>
              <w:t>December 2027</w:t>
            </w:r>
            <w:r w:rsidRPr="00AA272E">
              <w:rPr>
                <w:rFonts w:ascii="Calibri" w:eastAsia="Times New Roman" w:hAnsi="Calibri" w:cs="Calibri"/>
                <w:color w:val="000000"/>
                <w:kern w:val="0"/>
                <w:sz w:val="20"/>
                <w:szCs w:val="20"/>
                <w:lang w:eastAsia="en-GB"/>
                <w14:ligatures w14:val="none"/>
              </w:rPr>
              <w:t>)</w:t>
            </w:r>
          </w:p>
        </w:tc>
      </w:tr>
      <w:tr w:rsidR="00AA272E" w:rsidRPr="00AA272E" w14:paraId="56922AD8" w14:textId="77777777" w:rsidTr="00AA272E">
        <w:trPr>
          <w:trHeight w:val="885"/>
        </w:trPr>
        <w:tc>
          <w:tcPr>
            <w:tcW w:w="1371" w:type="dxa"/>
            <w:vMerge/>
            <w:vAlign w:val="center"/>
            <w:hideMark/>
          </w:tcPr>
          <w:p w14:paraId="6823184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2566FA24"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2.2 Access to finance</w:t>
            </w:r>
          </w:p>
        </w:tc>
        <w:tc>
          <w:tcPr>
            <w:tcW w:w="2179" w:type="dxa"/>
            <w:vMerge w:val="restart"/>
            <w:shd w:val="clear" w:color="auto" w:fill="auto"/>
            <w:vAlign w:val="center"/>
            <w:hideMark/>
          </w:tcPr>
          <w:p w14:paraId="7A97003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2.2.1 Put in place a system to financially support innovative startups and MSMEs </w:t>
            </w:r>
          </w:p>
        </w:tc>
        <w:tc>
          <w:tcPr>
            <w:tcW w:w="8930" w:type="dxa"/>
            <w:shd w:val="clear" w:color="auto" w:fill="auto"/>
            <w:vAlign w:val="center"/>
            <w:hideMark/>
          </w:tcPr>
          <w:p w14:paraId="0DEFD5E3"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Entity levels Innovation Plans until 2025 are updated and harmonised and a country-wide smart specialisation strategy</w:t>
            </w:r>
            <w:r w:rsidRPr="00AA272E">
              <w:rPr>
                <w:rFonts w:ascii="Calibri" w:eastAsia="Times New Roman" w:hAnsi="Calibri" w:cs="Calibri"/>
                <w:kern w:val="0"/>
                <w:sz w:val="24"/>
                <w:szCs w:val="24"/>
                <w:lang w:eastAsia="en-GB"/>
                <w14:ligatures w14:val="none"/>
              </w:rPr>
              <w:t> </w:t>
            </w:r>
            <w:r w:rsidRPr="00AA272E">
              <w:rPr>
                <w:rFonts w:ascii="Calibri" w:eastAsia="Times New Roman" w:hAnsi="Calibri" w:cs="Calibri"/>
                <w:kern w:val="0"/>
                <w:sz w:val="20"/>
                <w:szCs w:val="20"/>
                <w:lang w:eastAsia="en-GB"/>
                <w14:ligatures w14:val="none"/>
              </w:rPr>
              <w:t>and</w:t>
            </w:r>
            <w:r w:rsidRPr="00AA272E">
              <w:rPr>
                <w:rFonts w:ascii="Calibri" w:eastAsia="Times New Roman" w:hAnsi="Calibri" w:cs="Calibri"/>
                <w:kern w:val="0"/>
                <w:sz w:val="24"/>
                <w:szCs w:val="24"/>
                <w:lang w:eastAsia="en-GB"/>
                <w14:ligatures w14:val="none"/>
              </w:rPr>
              <w:t xml:space="preserve"> </w:t>
            </w:r>
            <w:r w:rsidRPr="00AA272E">
              <w:rPr>
                <w:rFonts w:ascii="Calibri" w:eastAsia="Times New Roman" w:hAnsi="Calibri" w:cs="Calibri"/>
                <w:kern w:val="0"/>
                <w:sz w:val="20"/>
                <w:szCs w:val="20"/>
                <w:lang w:eastAsia="en-GB"/>
                <w14:ligatures w14:val="none"/>
              </w:rPr>
              <w:t>a new 2023-2028 strategy and action plan for scientific development</w:t>
            </w:r>
            <w:r w:rsidRPr="00AA272E">
              <w:rPr>
                <w:rFonts w:ascii="Calibri" w:eastAsia="Times New Roman" w:hAnsi="Calibri" w:cs="Calibri"/>
                <w:kern w:val="0"/>
                <w:sz w:val="24"/>
                <w:szCs w:val="24"/>
                <w:lang w:eastAsia="en-GB"/>
                <w14:ligatures w14:val="none"/>
              </w:rPr>
              <w:t> </w:t>
            </w:r>
            <w:r w:rsidRPr="00AA272E">
              <w:rPr>
                <w:rFonts w:ascii="Calibri" w:eastAsia="Times New Roman" w:hAnsi="Calibri" w:cs="Calibri"/>
                <w:kern w:val="0"/>
                <w:sz w:val="20"/>
                <w:szCs w:val="20"/>
                <w:lang w:eastAsia="en-GB"/>
                <w14:ligatures w14:val="none"/>
              </w:rPr>
              <w:t>are adopted</w:t>
            </w:r>
            <w:r w:rsidRPr="00AA272E">
              <w:rPr>
                <w:rFonts w:ascii="Times New Roman" w:eastAsia="Times New Roman" w:hAnsi="Times New Roman" w:cs="Times New Roman"/>
                <w:kern w:val="0"/>
                <w:sz w:val="24"/>
                <w:szCs w:val="24"/>
                <w:lang w:eastAsia="en-GB"/>
                <w14:ligatures w14:val="none"/>
              </w:rPr>
              <w:t xml:space="preserve"> </w:t>
            </w:r>
            <w:r w:rsidRPr="00AA272E">
              <w:rPr>
                <w:rFonts w:ascii="Calibri" w:eastAsia="Times New Roman" w:hAnsi="Calibri" w:cs="Calibri"/>
                <w:kern w:val="0"/>
                <w:sz w:val="24"/>
                <w:szCs w:val="24"/>
                <w:lang w:eastAsia="en-GB"/>
                <w14:ligatures w14:val="none"/>
              </w:rPr>
              <w:t>(</w:t>
            </w:r>
            <w:r w:rsidRPr="00AA272E">
              <w:rPr>
                <w:rFonts w:ascii="Calibri" w:eastAsia="Times New Roman" w:hAnsi="Calibri" w:cs="Calibri"/>
                <w:b/>
                <w:bCs/>
                <w:kern w:val="0"/>
                <w:sz w:val="20"/>
                <w:szCs w:val="20"/>
                <w:lang w:eastAsia="en-GB"/>
                <w14:ligatures w14:val="none"/>
              </w:rPr>
              <w:t>December 2024</w:t>
            </w:r>
            <w:r w:rsidRPr="00AA272E">
              <w:rPr>
                <w:rFonts w:ascii="Calibri" w:eastAsia="Times New Roman" w:hAnsi="Calibri" w:cs="Calibri"/>
                <w:kern w:val="0"/>
                <w:sz w:val="24"/>
                <w:szCs w:val="24"/>
                <w:lang w:eastAsia="en-GB"/>
                <w14:ligatures w14:val="none"/>
              </w:rPr>
              <w:t>)</w:t>
            </w:r>
          </w:p>
        </w:tc>
      </w:tr>
      <w:tr w:rsidR="00AA272E" w:rsidRPr="00AA272E" w14:paraId="07DEAE55" w14:textId="77777777" w:rsidTr="00AA272E">
        <w:trPr>
          <w:trHeight w:val="570"/>
        </w:trPr>
        <w:tc>
          <w:tcPr>
            <w:tcW w:w="1371" w:type="dxa"/>
            <w:vMerge/>
            <w:vAlign w:val="center"/>
            <w:hideMark/>
          </w:tcPr>
          <w:p w14:paraId="40827A2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8953AA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FF7141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4CBB6BE"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Improve the regulatory impact assessment in process of drafting regulations to cover the impact on SMEs, in accordance with competences. </w:t>
            </w:r>
            <w:r w:rsidRPr="00AA272E">
              <w:rPr>
                <w:rFonts w:ascii="Calibri" w:eastAsia="Times New Roman" w:hAnsi="Calibri" w:cs="Calibri"/>
                <w:kern w:val="0"/>
                <w:sz w:val="24"/>
                <w:szCs w:val="24"/>
                <w:lang w:eastAsia="en-GB"/>
                <w14:ligatures w14:val="none"/>
              </w:rPr>
              <w:t>(</w:t>
            </w:r>
            <w:r w:rsidRPr="00AA272E">
              <w:rPr>
                <w:rFonts w:ascii="Calibri" w:eastAsia="Times New Roman" w:hAnsi="Calibri" w:cs="Calibri"/>
                <w:b/>
                <w:bCs/>
                <w:kern w:val="0"/>
                <w:sz w:val="20"/>
                <w:szCs w:val="20"/>
                <w:lang w:eastAsia="en-GB"/>
                <w14:ligatures w14:val="none"/>
              </w:rPr>
              <w:t>December 2025</w:t>
            </w:r>
            <w:r w:rsidRPr="00AA272E">
              <w:rPr>
                <w:rFonts w:ascii="Calibri" w:eastAsia="Times New Roman" w:hAnsi="Calibri" w:cs="Calibri"/>
                <w:kern w:val="0"/>
                <w:sz w:val="24"/>
                <w:szCs w:val="24"/>
                <w:lang w:eastAsia="en-GB"/>
                <w14:ligatures w14:val="none"/>
              </w:rPr>
              <w:t>)</w:t>
            </w:r>
          </w:p>
        </w:tc>
      </w:tr>
      <w:tr w:rsidR="00AA272E" w:rsidRPr="00AA272E" w14:paraId="24F84B36" w14:textId="77777777" w:rsidTr="00AA272E">
        <w:trPr>
          <w:trHeight w:val="555"/>
        </w:trPr>
        <w:tc>
          <w:tcPr>
            <w:tcW w:w="1371" w:type="dxa"/>
            <w:vMerge/>
            <w:vAlign w:val="center"/>
            <w:hideMark/>
          </w:tcPr>
          <w:p w14:paraId="04D2A9A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0C33D0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D098C8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2605C4C"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Framework for Strategic guidelines for harmonisation of entity’s support for SMEs and </w:t>
            </w:r>
            <w:proofErr w:type="gramStart"/>
            <w:r w:rsidRPr="00AA272E">
              <w:rPr>
                <w:rFonts w:ascii="Calibri" w:eastAsia="Times New Roman" w:hAnsi="Calibri" w:cs="Calibri"/>
                <w:kern w:val="0"/>
                <w:sz w:val="20"/>
                <w:szCs w:val="20"/>
                <w:lang w:eastAsia="en-GB"/>
                <w14:ligatures w14:val="none"/>
              </w:rPr>
              <w:t>entrepreneurship  is</w:t>
            </w:r>
            <w:proofErr w:type="gramEnd"/>
            <w:r w:rsidRPr="00AA272E">
              <w:rPr>
                <w:rFonts w:ascii="Calibri" w:eastAsia="Times New Roman" w:hAnsi="Calibri" w:cs="Calibri"/>
                <w:kern w:val="0"/>
                <w:sz w:val="20"/>
                <w:szCs w:val="20"/>
                <w:lang w:eastAsia="en-GB"/>
                <w14:ligatures w14:val="none"/>
              </w:rPr>
              <w:t xml:space="preserve"> adopted, in particular startups and MSMEs in digital sector</w:t>
            </w:r>
            <w:r w:rsidRPr="00AA272E">
              <w:rPr>
                <w:rFonts w:ascii="Calibri" w:eastAsia="Times New Roman" w:hAnsi="Calibri" w:cs="Calibri"/>
                <w:kern w:val="0"/>
                <w:sz w:val="24"/>
                <w:szCs w:val="24"/>
                <w:lang w:eastAsia="en-GB"/>
                <w14:ligatures w14:val="none"/>
              </w:rPr>
              <w:t>  (</w:t>
            </w:r>
            <w:r w:rsidRPr="00AA272E">
              <w:rPr>
                <w:rFonts w:ascii="Calibri" w:eastAsia="Times New Roman" w:hAnsi="Calibri" w:cs="Calibri"/>
                <w:b/>
                <w:bCs/>
                <w:kern w:val="0"/>
                <w:sz w:val="20"/>
                <w:szCs w:val="20"/>
                <w:lang w:eastAsia="en-GB"/>
                <w14:ligatures w14:val="none"/>
              </w:rPr>
              <w:t>December 2025</w:t>
            </w:r>
            <w:r w:rsidRPr="00AA272E">
              <w:rPr>
                <w:rFonts w:ascii="Calibri" w:eastAsia="Times New Roman" w:hAnsi="Calibri" w:cs="Calibri"/>
                <w:kern w:val="0"/>
                <w:sz w:val="24"/>
                <w:szCs w:val="24"/>
                <w:lang w:eastAsia="en-GB"/>
                <w14:ligatures w14:val="none"/>
              </w:rPr>
              <w:t>)</w:t>
            </w:r>
          </w:p>
        </w:tc>
      </w:tr>
      <w:tr w:rsidR="00AA272E" w:rsidRPr="00AA272E" w14:paraId="50B5EC99" w14:textId="77777777" w:rsidTr="00AA272E">
        <w:trPr>
          <w:trHeight w:val="510"/>
        </w:trPr>
        <w:tc>
          <w:tcPr>
            <w:tcW w:w="1371" w:type="dxa"/>
            <w:vMerge w:val="restart"/>
            <w:shd w:val="clear" w:color="auto" w:fill="auto"/>
            <w:vAlign w:val="center"/>
            <w:hideMark/>
          </w:tcPr>
          <w:p w14:paraId="646A1DDF"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 Human capital development and retention</w:t>
            </w:r>
          </w:p>
        </w:tc>
        <w:tc>
          <w:tcPr>
            <w:tcW w:w="1548" w:type="dxa"/>
            <w:vMerge w:val="restart"/>
            <w:shd w:val="clear" w:color="auto" w:fill="auto"/>
            <w:vAlign w:val="center"/>
            <w:hideMark/>
          </w:tcPr>
          <w:p w14:paraId="5608EA3F"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3.1 Education</w:t>
            </w:r>
          </w:p>
        </w:tc>
        <w:tc>
          <w:tcPr>
            <w:tcW w:w="2179" w:type="dxa"/>
            <w:vMerge w:val="restart"/>
            <w:shd w:val="clear" w:color="auto" w:fill="auto"/>
            <w:vAlign w:val="center"/>
            <w:hideMark/>
          </w:tcPr>
          <w:p w14:paraId="2F0F64D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3.1.1 Increase share of children enrolled in early childhood education and care services country-wide</w:t>
            </w:r>
          </w:p>
        </w:tc>
        <w:tc>
          <w:tcPr>
            <w:tcW w:w="8930" w:type="dxa"/>
            <w:shd w:val="clear" w:color="auto" w:fill="auto"/>
            <w:vAlign w:val="center"/>
            <w:hideMark/>
          </w:tcPr>
          <w:p w14:paraId="7C9CE399"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8</w:t>
            </w:r>
            <w:r w:rsidRPr="00AA272E">
              <w:rPr>
                <w:rFonts w:ascii="Calibri" w:eastAsia="Times New Roman" w:hAnsi="Calibri" w:cs="Calibri"/>
                <w:b/>
                <w:bCs/>
                <w:kern w:val="0"/>
                <w:sz w:val="20"/>
                <w:szCs w:val="20"/>
                <w:lang w:eastAsia="en-GB"/>
                <w14:ligatures w14:val="none"/>
              </w:rPr>
              <w:t>0%</w:t>
            </w:r>
            <w:r w:rsidRPr="00AA272E">
              <w:rPr>
                <w:rFonts w:ascii="Calibri" w:eastAsia="Times New Roman" w:hAnsi="Calibri" w:cs="Calibri"/>
                <w:kern w:val="0"/>
                <w:sz w:val="20"/>
                <w:szCs w:val="20"/>
                <w:lang w:eastAsia="en-GB"/>
                <w14:ligatures w14:val="none"/>
              </w:rPr>
              <w:t xml:space="preserve"> of children in the year prior to school entry enrolled in early childhood education and care services (ECEC) </w:t>
            </w:r>
            <w:r w:rsidRPr="00AA272E">
              <w:rPr>
                <w:rFonts w:ascii="Calibri" w:eastAsia="Times New Roman" w:hAnsi="Calibri" w:cs="Calibri"/>
                <w:b/>
                <w:bCs/>
                <w:kern w:val="0"/>
                <w:sz w:val="20"/>
                <w:szCs w:val="20"/>
                <w:lang w:eastAsia="en-GB"/>
                <w14:ligatures w14:val="none"/>
              </w:rPr>
              <w:t>(June 2027)</w:t>
            </w:r>
          </w:p>
        </w:tc>
      </w:tr>
      <w:tr w:rsidR="00AA272E" w:rsidRPr="00AA272E" w14:paraId="187B7CF0" w14:textId="77777777" w:rsidTr="00AA272E">
        <w:trPr>
          <w:trHeight w:val="300"/>
        </w:trPr>
        <w:tc>
          <w:tcPr>
            <w:tcW w:w="1371" w:type="dxa"/>
            <w:vMerge/>
            <w:vAlign w:val="center"/>
            <w:hideMark/>
          </w:tcPr>
          <w:p w14:paraId="6E428D3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A3126F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AB0A86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63A172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60% enrolment for children 3-5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59C3C4E2" w14:textId="77777777" w:rsidTr="00AA272E">
        <w:trPr>
          <w:trHeight w:val="315"/>
        </w:trPr>
        <w:tc>
          <w:tcPr>
            <w:tcW w:w="1371" w:type="dxa"/>
            <w:vMerge/>
            <w:vAlign w:val="center"/>
            <w:hideMark/>
          </w:tcPr>
          <w:p w14:paraId="5474C98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F64C8D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879B6C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066900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30% enrolment for children 0-2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35E10407" w14:textId="77777777" w:rsidTr="00AA272E">
        <w:trPr>
          <w:trHeight w:val="300"/>
        </w:trPr>
        <w:tc>
          <w:tcPr>
            <w:tcW w:w="1371" w:type="dxa"/>
            <w:vMerge/>
            <w:vAlign w:val="center"/>
            <w:hideMark/>
          </w:tcPr>
          <w:p w14:paraId="466505A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C9641D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1B699A9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3.1.2 Increase quality of primary and secondary education country-wide, including by aligning core curricula with labour market needs</w:t>
            </w:r>
          </w:p>
        </w:tc>
        <w:tc>
          <w:tcPr>
            <w:tcW w:w="8930" w:type="dxa"/>
            <w:shd w:val="clear" w:color="auto" w:fill="auto"/>
            <w:vAlign w:val="center"/>
            <w:hideMark/>
          </w:tcPr>
          <w:p w14:paraId="3D5C94D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RS Law on Quality assurance in Higher Education</w:t>
            </w:r>
            <w:r w:rsidRPr="00AA272E">
              <w:rPr>
                <w:rFonts w:ascii="Calibri" w:eastAsia="Times New Roman" w:hAnsi="Calibri" w:cs="Calibri"/>
                <w:b/>
                <w:bCs/>
                <w:strike/>
                <w:color w:val="375623"/>
                <w:kern w:val="0"/>
                <w:sz w:val="20"/>
                <w:szCs w:val="20"/>
                <w:lang w:eastAsia="en-GB"/>
                <w14:ligatures w14:val="none"/>
              </w:rPr>
              <w:t>,</w:t>
            </w:r>
            <w:r w:rsidRPr="00AA272E">
              <w:rPr>
                <w:rFonts w:ascii="Calibri" w:eastAsia="Times New Roman" w:hAnsi="Calibri" w:cs="Calibri"/>
                <w:color w:val="000000"/>
                <w:kern w:val="0"/>
                <w:sz w:val="20"/>
                <w:szCs w:val="20"/>
                <w:lang w:eastAsia="en-GB"/>
                <w14:ligatures w14:val="none"/>
              </w:rPr>
              <w:t xml:space="preserve"> enters into force (</w:t>
            </w:r>
            <w:r w:rsidRPr="00AA272E">
              <w:rPr>
                <w:rFonts w:ascii="Calibri" w:eastAsia="Times New Roman" w:hAnsi="Calibri" w:cs="Calibri"/>
                <w:b/>
                <w:bCs/>
                <w:color w:val="000000"/>
                <w:kern w:val="0"/>
                <w:sz w:val="20"/>
                <w:szCs w:val="20"/>
                <w:lang w:eastAsia="en-GB"/>
                <w14:ligatures w14:val="none"/>
              </w:rPr>
              <w:t>December 2024)</w:t>
            </w:r>
          </w:p>
        </w:tc>
      </w:tr>
      <w:tr w:rsidR="00AA272E" w:rsidRPr="00AA272E" w14:paraId="5B447401" w14:textId="77777777" w:rsidTr="00AA272E">
        <w:trPr>
          <w:trHeight w:val="300"/>
        </w:trPr>
        <w:tc>
          <w:tcPr>
            <w:tcW w:w="1371" w:type="dxa"/>
            <w:vMerge/>
            <w:vAlign w:val="center"/>
            <w:hideMark/>
          </w:tcPr>
          <w:p w14:paraId="146457C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88797C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4D763A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616986B"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Accreditation of at least two agencies as members of ENQA </w:t>
            </w:r>
            <w:r w:rsidRPr="00AA272E">
              <w:rPr>
                <w:rFonts w:ascii="Calibri" w:eastAsia="Times New Roman" w:hAnsi="Calibri" w:cs="Calibri"/>
                <w:b/>
                <w:bCs/>
                <w:kern w:val="0"/>
                <w:sz w:val="20"/>
                <w:szCs w:val="20"/>
                <w:lang w:eastAsia="en-GB"/>
                <w14:ligatures w14:val="none"/>
              </w:rPr>
              <w:t>(June 2026)</w:t>
            </w:r>
          </w:p>
        </w:tc>
      </w:tr>
      <w:tr w:rsidR="00AA272E" w:rsidRPr="00AA272E" w14:paraId="1FE30EBA" w14:textId="77777777" w:rsidTr="00AA272E">
        <w:trPr>
          <w:trHeight w:val="765"/>
        </w:trPr>
        <w:tc>
          <w:tcPr>
            <w:tcW w:w="1371" w:type="dxa"/>
            <w:vMerge/>
            <w:vAlign w:val="center"/>
            <w:hideMark/>
          </w:tcPr>
          <w:p w14:paraId="6C23367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DEE110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10F4B2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52C3C1D5" w14:textId="77777777" w:rsidR="00AA272E" w:rsidRPr="00AA272E" w:rsidRDefault="00AA272E" w:rsidP="00AA272E">
            <w:pPr>
              <w:spacing w:after="0" w:line="240" w:lineRule="auto"/>
              <w:rPr>
                <w:rFonts w:ascii="Calibri" w:eastAsia="Times New Roman" w:hAnsi="Calibri" w:cs="Calibri"/>
                <w:b/>
                <w:bCs/>
                <w:kern w:val="0"/>
                <w:sz w:val="20"/>
                <w:szCs w:val="20"/>
                <w:lang w:eastAsia="en-GB"/>
                <w14:ligatures w14:val="none"/>
              </w:rPr>
            </w:pPr>
            <w:r w:rsidRPr="00AA272E">
              <w:rPr>
                <w:rFonts w:ascii="Calibri" w:eastAsia="Times New Roman" w:hAnsi="Calibri" w:cs="Calibri"/>
                <w:kern w:val="0"/>
                <w:sz w:val="20"/>
                <w:szCs w:val="20"/>
                <w:lang w:eastAsia="en-GB"/>
                <w14:ligatures w14:val="none"/>
              </w:rPr>
              <w:t>Introduction and application by relevant authorities within the country of curricula based on learning outcomes, including those that concern digital skills (in line with the Framework for Digital Skills)</w:t>
            </w:r>
            <w:r w:rsidRPr="00AA272E">
              <w:rPr>
                <w:rFonts w:ascii="Calibri" w:eastAsia="Times New Roman" w:hAnsi="Calibri" w:cs="Calibri"/>
                <w:b/>
                <w:bCs/>
                <w:kern w:val="0"/>
                <w:sz w:val="20"/>
                <w:szCs w:val="20"/>
                <w:lang w:eastAsia="en-GB"/>
                <w14:ligatures w14:val="none"/>
              </w:rPr>
              <w:t xml:space="preserve"> (June 2026)</w:t>
            </w:r>
          </w:p>
        </w:tc>
      </w:tr>
      <w:tr w:rsidR="00AA272E" w:rsidRPr="00AA272E" w14:paraId="3909C53B" w14:textId="77777777" w:rsidTr="00AA272E">
        <w:trPr>
          <w:trHeight w:val="510"/>
        </w:trPr>
        <w:tc>
          <w:tcPr>
            <w:tcW w:w="1371" w:type="dxa"/>
            <w:vMerge/>
            <w:vAlign w:val="center"/>
            <w:hideMark/>
          </w:tcPr>
          <w:p w14:paraId="64B8A5B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ABB88B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778F01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5A01FE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200 schools / year covered with internet until full coverage with Wi-Fi accessible throughout the school </w:t>
            </w:r>
            <w:r w:rsidRPr="00AA272E">
              <w:rPr>
                <w:rFonts w:ascii="Calibri" w:eastAsia="Times New Roman" w:hAnsi="Calibri" w:cs="Calibri"/>
                <w:b/>
                <w:bCs/>
                <w:color w:val="000000"/>
                <w:kern w:val="0"/>
                <w:sz w:val="20"/>
                <w:szCs w:val="20"/>
                <w:lang w:eastAsia="en-GB"/>
                <w14:ligatures w14:val="none"/>
              </w:rPr>
              <w:t>(December 2027)</w:t>
            </w:r>
          </w:p>
        </w:tc>
      </w:tr>
      <w:tr w:rsidR="00AA272E" w:rsidRPr="00AA272E" w14:paraId="14696C21" w14:textId="77777777" w:rsidTr="00AA272E">
        <w:trPr>
          <w:trHeight w:val="525"/>
        </w:trPr>
        <w:tc>
          <w:tcPr>
            <w:tcW w:w="1371" w:type="dxa"/>
            <w:vMerge/>
            <w:vAlign w:val="center"/>
            <w:hideMark/>
          </w:tcPr>
          <w:p w14:paraId="46E0439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48F06C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E03B5D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F64DA9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xx% of teachers in primary and secondary education exposed to training in Digital Skills in line with EU best practices. </w:t>
            </w:r>
            <w:r w:rsidRPr="00AA272E">
              <w:rPr>
                <w:rFonts w:ascii="Calibri" w:eastAsia="Times New Roman" w:hAnsi="Calibri" w:cs="Calibri"/>
                <w:b/>
                <w:bCs/>
                <w:color w:val="000000"/>
                <w:kern w:val="0"/>
                <w:sz w:val="20"/>
                <w:szCs w:val="20"/>
                <w:lang w:eastAsia="en-GB"/>
                <w14:ligatures w14:val="none"/>
              </w:rPr>
              <w:t>(December 2027)</w:t>
            </w:r>
          </w:p>
        </w:tc>
      </w:tr>
      <w:tr w:rsidR="00AA272E" w:rsidRPr="00AA272E" w14:paraId="4D34BAF1" w14:textId="77777777" w:rsidTr="00AA272E">
        <w:trPr>
          <w:trHeight w:val="510"/>
        </w:trPr>
        <w:tc>
          <w:tcPr>
            <w:tcW w:w="1371" w:type="dxa"/>
            <w:vMerge/>
            <w:vAlign w:val="center"/>
            <w:hideMark/>
          </w:tcPr>
          <w:p w14:paraId="2B65E3D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EE35FC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restart"/>
            <w:shd w:val="clear" w:color="auto" w:fill="auto"/>
            <w:vAlign w:val="center"/>
            <w:hideMark/>
          </w:tcPr>
          <w:p w14:paraId="73DDAAC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3.1.3 Improve the link between VET and </w:t>
            </w:r>
            <w:r w:rsidRPr="00AA272E">
              <w:rPr>
                <w:rFonts w:ascii="Calibri" w:eastAsia="Times New Roman" w:hAnsi="Calibri" w:cs="Calibri"/>
                <w:color w:val="000000"/>
                <w:kern w:val="0"/>
                <w:sz w:val="20"/>
                <w:szCs w:val="20"/>
                <w:lang w:eastAsia="en-GB"/>
                <w14:ligatures w14:val="none"/>
              </w:rPr>
              <w:lastRenderedPageBreak/>
              <w:t>private sector and decrease the skills mismatch</w:t>
            </w:r>
          </w:p>
        </w:tc>
        <w:tc>
          <w:tcPr>
            <w:tcW w:w="8930" w:type="dxa"/>
            <w:shd w:val="clear" w:color="auto" w:fill="auto"/>
            <w:vAlign w:val="center"/>
            <w:hideMark/>
          </w:tcPr>
          <w:p w14:paraId="19EEA17E"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lastRenderedPageBreak/>
              <w:t xml:space="preserve">At least 40% of second-year VET-students should benefit from substantial exposure (at least 25% of programme) to work-based learning (EEA strategic framework) </w:t>
            </w:r>
            <w:r w:rsidRPr="00AA272E">
              <w:rPr>
                <w:rFonts w:ascii="Calibri" w:eastAsia="Times New Roman" w:hAnsi="Calibri" w:cs="Calibri"/>
                <w:b/>
                <w:bCs/>
                <w:kern w:val="0"/>
                <w:sz w:val="20"/>
                <w:szCs w:val="20"/>
                <w:lang w:eastAsia="en-GB"/>
                <w14:ligatures w14:val="none"/>
              </w:rPr>
              <w:t>(December 2026)</w:t>
            </w:r>
          </w:p>
        </w:tc>
      </w:tr>
      <w:tr w:rsidR="00AA272E" w:rsidRPr="00AA272E" w14:paraId="2B4E2BD5" w14:textId="77777777" w:rsidTr="00AA272E">
        <w:trPr>
          <w:trHeight w:val="300"/>
        </w:trPr>
        <w:tc>
          <w:tcPr>
            <w:tcW w:w="1371" w:type="dxa"/>
            <w:vMerge/>
            <w:vAlign w:val="center"/>
            <w:hideMark/>
          </w:tcPr>
          <w:p w14:paraId="7AF47BE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0422A4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55CCC3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41365CB"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Quality assurance framework for adult education in place,</w:t>
            </w:r>
            <w:r w:rsidRPr="00AA272E">
              <w:rPr>
                <w:rFonts w:ascii="Calibri" w:eastAsia="Times New Roman" w:hAnsi="Calibri" w:cs="Calibri"/>
                <w:b/>
                <w:bCs/>
                <w:kern w:val="0"/>
                <w:sz w:val="20"/>
                <w:szCs w:val="20"/>
                <w:lang w:eastAsia="en-GB"/>
                <w14:ligatures w14:val="none"/>
              </w:rPr>
              <w:t xml:space="preserve"> </w:t>
            </w:r>
            <w:r w:rsidRPr="00AA272E">
              <w:rPr>
                <w:rFonts w:ascii="Calibri" w:eastAsia="Times New Roman" w:hAnsi="Calibri" w:cs="Calibri"/>
                <w:kern w:val="0"/>
                <w:sz w:val="20"/>
                <w:szCs w:val="20"/>
                <w:lang w:eastAsia="en-GB"/>
                <w14:ligatures w14:val="none"/>
              </w:rPr>
              <w:t>in line with competences</w:t>
            </w:r>
            <w:r w:rsidRPr="00AA272E">
              <w:rPr>
                <w:rFonts w:ascii="Calibri" w:eastAsia="Times New Roman" w:hAnsi="Calibri" w:cs="Calibri"/>
                <w:b/>
                <w:bCs/>
                <w:kern w:val="0"/>
                <w:sz w:val="20"/>
                <w:szCs w:val="20"/>
                <w:lang w:eastAsia="en-GB"/>
                <w14:ligatures w14:val="none"/>
              </w:rPr>
              <w:t xml:space="preserve"> (June 2026)</w:t>
            </w:r>
          </w:p>
        </w:tc>
      </w:tr>
      <w:tr w:rsidR="00AA272E" w:rsidRPr="00AA272E" w14:paraId="047CE721" w14:textId="77777777" w:rsidTr="00AA272E">
        <w:trPr>
          <w:trHeight w:val="300"/>
        </w:trPr>
        <w:tc>
          <w:tcPr>
            <w:tcW w:w="1371" w:type="dxa"/>
            <w:vMerge/>
            <w:vAlign w:val="center"/>
            <w:hideMark/>
          </w:tcPr>
          <w:p w14:paraId="70F445F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62C3E4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A5D792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EFE1E8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Professional development of teachers and trainers to match new competence requirements </w:t>
            </w:r>
            <w:r w:rsidRPr="00AA272E">
              <w:rPr>
                <w:rFonts w:ascii="Calibri" w:eastAsia="Times New Roman" w:hAnsi="Calibri" w:cs="Calibri"/>
                <w:b/>
                <w:bCs/>
                <w:color w:val="000000"/>
                <w:kern w:val="0"/>
                <w:sz w:val="20"/>
                <w:szCs w:val="20"/>
                <w:lang w:eastAsia="en-GB"/>
                <w14:ligatures w14:val="none"/>
              </w:rPr>
              <w:t>(June 2026)</w:t>
            </w:r>
          </w:p>
        </w:tc>
      </w:tr>
      <w:tr w:rsidR="00AA272E" w:rsidRPr="00AA272E" w14:paraId="2C733F48" w14:textId="77777777" w:rsidTr="00AA272E">
        <w:trPr>
          <w:trHeight w:val="330"/>
        </w:trPr>
        <w:tc>
          <w:tcPr>
            <w:tcW w:w="1371" w:type="dxa"/>
            <w:vMerge/>
            <w:vAlign w:val="center"/>
            <w:hideMark/>
          </w:tcPr>
          <w:p w14:paraId="46BBA1F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74298A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0E69FB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A8A555F"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Share of VET students employed within a year after VET graduation</w:t>
            </w:r>
            <w:r w:rsidRPr="00AA272E">
              <w:rPr>
                <w:rFonts w:ascii="Times New Roman" w:eastAsia="Times New Roman" w:hAnsi="Times New Roman" w:cs="Times New Roman"/>
                <w:kern w:val="0"/>
                <w:sz w:val="24"/>
                <w:szCs w:val="24"/>
                <w:lang w:eastAsia="en-GB"/>
                <w14:ligatures w14:val="none"/>
              </w:rPr>
              <w:t xml:space="preserve"> </w:t>
            </w:r>
            <w:r w:rsidRPr="00AA272E">
              <w:rPr>
                <w:rFonts w:ascii="Calibri" w:eastAsia="Times New Roman" w:hAnsi="Calibri" w:cs="Calibri"/>
                <w:b/>
                <w:bCs/>
                <w:kern w:val="0"/>
                <w:sz w:val="20"/>
                <w:szCs w:val="20"/>
                <w:lang w:eastAsia="en-GB"/>
                <w14:ligatures w14:val="none"/>
              </w:rPr>
              <w:t>(June 2027)</w:t>
            </w:r>
          </w:p>
        </w:tc>
      </w:tr>
      <w:tr w:rsidR="00AA272E" w:rsidRPr="00AA272E" w14:paraId="18D357AF" w14:textId="77777777" w:rsidTr="00AA272E">
        <w:trPr>
          <w:trHeight w:val="510"/>
        </w:trPr>
        <w:tc>
          <w:tcPr>
            <w:tcW w:w="1371" w:type="dxa"/>
            <w:vMerge/>
            <w:vAlign w:val="center"/>
            <w:hideMark/>
          </w:tcPr>
          <w:p w14:paraId="5C4F780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6FBBD02C"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3.2 Labour market</w:t>
            </w:r>
          </w:p>
        </w:tc>
        <w:tc>
          <w:tcPr>
            <w:tcW w:w="2179" w:type="dxa"/>
            <w:vMerge w:val="restart"/>
            <w:shd w:val="clear" w:color="auto" w:fill="auto"/>
            <w:vAlign w:val="center"/>
            <w:hideMark/>
          </w:tcPr>
          <w:p w14:paraId="132E13F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3.2.1 Increase access to decent work throughout the country, including through piloting and full roll-out of the Youth Guarantee.</w:t>
            </w:r>
          </w:p>
        </w:tc>
        <w:tc>
          <w:tcPr>
            <w:tcW w:w="8930" w:type="dxa"/>
            <w:shd w:val="clear" w:color="auto" w:fill="auto"/>
            <w:vAlign w:val="center"/>
            <w:hideMark/>
          </w:tcPr>
          <w:p w14:paraId="69C06E1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SILC (survey on income and living conditions) and labour force survey are introduced for regular implementation </w:t>
            </w:r>
            <w:r w:rsidRPr="00AA272E">
              <w:rPr>
                <w:rFonts w:ascii="Calibri" w:eastAsia="Times New Roman" w:hAnsi="Calibri" w:cs="Calibri"/>
                <w:b/>
                <w:bCs/>
                <w:color w:val="000000"/>
                <w:kern w:val="0"/>
                <w:sz w:val="20"/>
                <w:szCs w:val="20"/>
                <w:lang w:eastAsia="en-GB"/>
                <w14:ligatures w14:val="none"/>
              </w:rPr>
              <w:t>(December 2024)</w:t>
            </w:r>
          </w:p>
        </w:tc>
      </w:tr>
      <w:tr w:rsidR="00AA272E" w:rsidRPr="00AA272E" w14:paraId="4B6C01C1" w14:textId="77777777" w:rsidTr="00AA272E">
        <w:trPr>
          <w:trHeight w:val="300"/>
        </w:trPr>
        <w:tc>
          <w:tcPr>
            <w:tcW w:w="1371" w:type="dxa"/>
            <w:vMerge/>
            <w:vAlign w:val="center"/>
            <w:hideMark/>
          </w:tcPr>
          <w:p w14:paraId="7ED7987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000B01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56F8E3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3AF8821"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Total number of regular labour inspections throughout the country increased by 25%</w:t>
            </w:r>
            <w:r w:rsidRPr="00AA272E">
              <w:rPr>
                <w:rFonts w:ascii="Calibri" w:eastAsia="Times New Roman" w:hAnsi="Calibri" w:cs="Calibri"/>
                <w:b/>
                <w:bCs/>
                <w:kern w:val="0"/>
                <w:sz w:val="20"/>
                <w:szCs w:val="20"/>
                <w:lang w:eastAsia="en-GB"/>
                <w14:ligatures w14:val="none"/>
              </w:rPr>
              <w:t xml:space="preserve"> (June 2026)</w:t>
            </w:r>
          </w:p>
        </w:tc>
      </w:tr>
      <w:tr w:rsidR="00AA272E" w:rsidRPr="00AA272E" w14:paraId="37AAC130" w14:textId="77777777" w:rsidTr="00AA272E">
        <w:trPr>
          <w:trHeight w:val="510"/>
        </w:trPr>
        <w:tc>
          <w:tcPr>
            <w:tcW w:w="1371" w:type="dxa"/>
            <w:vMerge/>
            <w:vAlign w:val="center"/>
            <w:hideMark/>
          </w:tcPr>
          <w:p w14:paraId="098C1AB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EE98A8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074A27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558A140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Discharge the public employment services (PES) from administrative duties related to health insurance at all levels </w:t>
            </w:r>
            <w:r w:rsidRPr="00AA272E">
              <w:rPr>
                <w:rFonts w:ascii="Calibri" w:eastAsia="Times New Roman" w:hAnsi="Calibri" w:cs="Calibri"/>
                <w:b/>
                <w:bCs/>
                <w:color w:val="000000"/>
                <w:kern w:val="0"/>
                <w:sz w:val="20"/>
                <w:szCs w:val="20"/>
                <w:lang w:eastAsia="en-GB"/>
                <w14:ligatures w14:val="none"/>
              </w:rPr>
              <w:t>(June 2025)</w:t>
            </w:r>
          </w:p>
        </w:tc>
      </w:tr>
      <w:tr w:rsidR="00AA272E" w:rsidRPr="00AA272E" w14:paraId="23984BB8" w14:textId="77777777" w:rsidTr="00AA272E">
        <w:trPr>
          <w:trHeight w:val="510"/>
        </w:trPr>
        <w:tc>
          <w:tcPr>
            <w:tcW w:w="1371" w:type="dxa"/>
            <w:vMerge/>
            <w:vAlign w:val="center"/>
            <w:hideMark/>
          </w:tcPr>
          <w:p w14:paraId="2CC2211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E7C09E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793E21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F56698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Establish continuous data exchange between the PESs and Centres for Social Work for activation of vulnerable groups / users of social assistance </w:t>
            </w:r>
            <w:r w:rsidRPr="00AA272E">
              <w:rPr>
                <w:rFonts w:ascii="Calibri" w:eastAsia="Times New Roman" w:hAnsi="Calibri" w:cs="Calibri"/>
                <w:b/>
                <w:bCs/>
                <w:color w:val="000000"/>
                <w:kern w:val="0"/>
                <w:sz w:val="20"/>
                <w:szCs w:val="20"/>
                <w:lang w:eastAsia="en-GB"/>
                <w14:ligatures w14:val="none"/>
              </w:rPr>
              <w:t>(December 2025)</w:t>
            </w:r>
          </w:p>
        </w:tc>
      </w:tr>
      <w:tr w:rsidR="00AA272E" w:rsidRPr="00AA272E" w14:paraId="364AFC28" w14:textId="77777777" w:rsidTr="00AA272E">
        <w:trPr>
          <w:trHeight w:val="510"/>
        </w:trPr>
        <w:tc>
          <w:tcPr>
            <w:tcW w:w="1371" w:type="dxa"/>
            <w:vMerge/>
            <w:vAlign w:val="center"/>
            <w:hideMark/>
          </w:tcPr>
          <w:p w14:paraId="249D985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CEA8B9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CFAD47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DB679B5"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Number of members of vulnerable groups receiving mediation services by PES staff increased by 20% </w:t>
            </w:r>
            <w:r w:rsidRPr="00AA272E">
              <w:rPr>
                <w:rFonts w:ascii="Calibri" w:eastAsia="Times New Roman" w:hAnsi="Calibri" w:cs="Calibri"/>
                <w:b/>
                <w:bCs/>
                <w:kern w:val="0"/>
                <w:sz w:val="20"/>
                <w:szCs w:val="20"/>
                <w:lang w:eastAsia="en-GB"/>
                <w14:ligatures w14:val="none"/>
              </w:rPr>
              <w:t>(December 2026)</w:t>
            </w:r>
          </w:p>
        </w:tc>
      </w:tr>
      <w:tr w:rsidR="00AA272E" w:rsidRPr="00AA272E" w14:paraId="2C41DD32" w14:textId="77777777" w:rsidTr="00AA272E">
        <w:trPr>
          <w:trHeight w:val="300"/>
        </w:trPr>
        <w:tc>
          <w:tcPr>
            <w:tcW w:w="1371" w:type="dxa"/>
            <w:vMerge/>
            <w:vAlign w:val="center"/>
            <w:hideMark/>
          </w:tcPr>
          <w:p w14:paraId="75B8547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B8DFD9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146CDC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451BE36"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25% increase of women and vulnerable groups targeted by ALMPs </w:t>
            </w:r>
            <w:r w:rsidRPr="00AA272E">
              <w:rPr>
                <w:rFonts w:ascii="Calibri" w:eastAsia="Times New Roman" w:hAnsi="Calibri" w:cs="Calibri"/>
                <w:b/>
                <w:bCs/>
                <w:kern w:val="0"/>
                <w:sz w:val="20"/>
                <w:szCs w:val="20"/>
                <w:lang w:eastAsia="en-GB"/>
                <w14:ligatures w14:val="none"/>
              </w:rPr>
              <w:t>(December 2026)</w:t>
            </w:r>
          </w:p>
        </w:tc>
      </w:tr>
      <w:tr w:rsidR="00AA272E" w:rsidRPr="00AA272E" w14:paraId="3730542D" w14:textId="77777777" w:rsidTr="00AA272E">
        <w:trPr>
          <w:trHeight w:val="510"/>
        </w:trPr>
        <w:tc>
          <w:tcPr>
            <w:tcW w:w="1371" w:type="dxa"/>
            <w:vMerge/>
            <w:vAlign w:val="center"/>
            <w:hideMark/>
          </w:tcPr>
          <w:p w14:paraId="75CF938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75B0C5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AF43F7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73483D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Improve PESs registries of active and inactive job seekers by including Quality Assurance indicators </w:t>
            </w:r>
            <w:r w:rsidRPr="00AA272E">
              <w:rPr>
                <w:rFonts w:ascii="Calibri" w:eastAsia="Times New Roman" w:hAnsi="Calibri" w:cs="Calibri"/>
                <w:b/>
                <w:bCs/>
                <w:color w:val="000000"/>
                <w:kern w:val="0"/>
                <w:sz w:val="20"/>
                <w:szCs w:val="20"/>
                <w:lang w:eastAsia="en-GB"/>
                <w14:ligatures w14:val="none"/>
              </w:rPr>
              <w:t>(December 2026)</w:t>
            </w:r>
          </w:p>
        </w:tc>
      </w:tr>
      <w:tr w:rsidR="00AA272E" w:rsidRPr="00AA272E" w14:paraId="49FF8756" w14:textId="77777777" w:rsidTr="00AA272E">
        <w:trPr>
          <w:trHeight w:val="300"/>
        </w:trPr>
        <w:tc>
          <w:tcPr>
            <w:tcW w:w="1371" w:type="dxa"/>
            <w:vMerge/>
            <w:vAlign w:val="center"/>
            <w:hideMark/>
          </w:tcPr>
          <w:p w14:paraId="541A244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09EEA12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2A8CAC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0771E7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At least 20% of beneficiaries of YG are employed within 6 months after completion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5C6EC48D" w14:textId="77777777" w:rsidTr="00AA272E">
        <w:trPr>
          <w:trHeight w:val="315"/>
        </w:trPr>
        <w:tc>
          <w:tcPr>
            <w:tcW w:w="1371" w:type="dxa"/>
            <w:vMerge/>
            <w:vAlign w:val="center"/>
            <w:hideMark/>
          </w:tcPr>
          <w:p w14:paraId="6AF7D99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164410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E1FF0C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A64DB7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Ratio of job counsellors in Public Employment Services to job seekers is reduced to 1:500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3BC3D1A1" w14:textId="77777777" w:rsidTr="00AA272E">
        <w:trPr>
          <w:trHeight w:val="510"/>
        </w:trPr>
        <w:tc>
          <w:tcPr>
            <w:tcW w:w="1371" w:type="dxa"/>
            <w:vMerge/>
            <w:vAlign w:val="center"/>
            <w:hideMark/>
          </w:tcPr>
          <w:p w14:paraId="2077467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1AD62223"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3.3 Social protection system</w:t>
            </w:r>
          </w:p>
        </w:tc>
        <w:tc>
          <w:tcPr>
            <w:tcW w:w="2179" w:type="dxa"/>
            <w:vMerge w:val="restart"/>
            <w:shd w:val="clear" w:color="auto" w:fill="auto"/>
            <w:vAlign w:val="center"/>
            <w:hideMark/>
          </w:tcPr>
          <w:p w14:paraId="23E85E5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3.3.1 Harmonise parental leave rights country-wide and implement the social card.</w:t>
            </w:r>
          </w:p>
        </w:tc>
        <w:tc>
          <w:tcPr>
            <w:tcW w:w="8930" w:type="dxa"/>
            <w:shd w:val="clear" w:color="auto" w:fill="auto"/>
            <w:vAlign w:val="center"/>
            <w:hideMark/>
          </w:tcPr>
          <w:p w14:paraId="2477662E"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Action plan for country-wide harmonisation and strengthening of parental leave in place,</w:t>
            </w:r>
            <w:r w:rsidRPr="00AA272E">
              <w:rPr>
                <w:rFonts w:ascii="Calibri" w:eastAsia="Times New Roman" w:hAnsi="Calibri" w:cs="Calibri"/>
                <w:b/>
                <w:bCs/>
                <w:kern w:val="0"/>
                <w:sz w:val="20"/>
                <w:szCs w:val="20"/>
                <w:lang w:eastAsia="en-GB"/>
                <w14:ligatures w14:val="none"/>
              </w:rPr>
              <w:t xml:space="preserve"> </w:t>
            </w:r>
            <w:r w:rsidRPr="00AA272E">
              <w:rPr>
                <w:rFonts w:ascii="Calibri" w:eastAsia="Times New Roman" w:hAnsi="Calibri" w:cs="Calibri"/>
                <w:kern w:val="0"/>
                <w:sz w:val="20"/>
                <w:szCs w:val="20"/>
                <w:lang w:eastAsia="en-GB"/>
                <w14:ligatures w14:val="none"/>
              </w:rPr>
              <w:t>in accordance with competences</w:t>
            </w:r>
            <w:r w:rsidRPr="00AA272E">
              <w:rPr>
                <w:rFonts w:ascii="Calibri" w:eastAsia="Times New Roman" w:hAnsi="Calibri" w:cs="Calibri"/>
                <w:b/>
                <w:bCs/>
                <w:kern w:val="0"/>
                <w:sz w:val="20"/>
                <w:szCs w:val="20"/>
                <w:lang w:eastAsia="en-GB"/>
                <w14:ligatures w14:val="none"/>
              </w:rPr>
              <w:t xml:space="preserve"> (December 2025)</w:t>
            </w:r>
          </w:p>
        </w:tc>
      </w:tr>
      <w:tr w:rsidR="00AA272E" w:rsidRPr="00AA272E" w14:paraId="5D6AEBA6" w14:textId="77777777" w:rsidTr="00AA272E">
        <w:trPr>
          <w:trHeight w:val="300"/>
        </w:trPr>
        <w:tc>
          <w:tcPr>
            <w:tcW w:w="1371" w:type="dxa"/>
            <w:vMerge/>
            <w:vAlign w:val="center"/>
            <w:hideMark/>
          </w:tcPr>
          <w:p w14:paraId="624DD0F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E57B9B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667CEE6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1D303D1"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Adopt pending legislation and regulation to implement social card</w:t>
            </w:r>
            <w:r w:rsidRPr="00AA272E">
              <w:rPr>
                <w:rFonts w:ascii="Calibri" w:eastAsia="Times New Roman" w:hAnsi="Calibri" w:cs="Calibri"/>
                <w:b/>
                <w:bCs/>
                <w:kern w:val="0"/>
                <w:sz w:val="20"/>
                <w:szCs w:val="20"/>
                <w:lang w:eastAsia="en-GB"/>
                <w14:ligatures w14:val="none"/>
              </w:rPr>
              <w:t xml:space="preserve"> (December 2025)</w:t>
            </w:r>
          </w:p>
        </w:tc>
      </w:tr>
      <w:tr w:rsidR="00AA272E" w:rsidRPr="00AA272E" w14:paraId="54F015F2" w14:textId="77777777" w:rsidTr="00AA272E">
        <w:trPr>
          <w:trHeight w:val="525"/>
        </w:trPr>
        <w:tc>
          <w:tcPr>
            <w:tcW w:w="1371" w:type="dxa"/>
            <w:vMerge/>
            <w:vAlign w:val="center"/>
            <w:hideMark/>
          </w:tcPr>
          <w:p w14:paraId="69DF316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277C83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848A08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5542230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100% of the beneficiaries of social transfers covered by the social card to ensure targeting of social benefits in line with needs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2C2ACF7F" w14:textId="77777777" w:rsidTr="00AA272E">
        <w:trPr>
          <w:trHeight w:val="510"/>
        </w:trPr>
        <w:tc>
          <w:tcPr>
            <w:tcW w:w="1371" w:type="dxa"/>
            <w:vMerge w:val="restart"/>
            <w:shd w:val="clear" w:color="auto" w:fill="auto"/>
            <w:vAlign w:val="center"/>
            <w:hideMark/>
          </w:tcPr>
          <w:p w14:paraId="1986BEE8"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 Fundamentals /Rule of law</w:t>
            </w:r>
          </w:p>
        </w:tc>
        <w:tc>
          <w:tcPr>
            <w:tcW w:w="1548" w:type="dxa"/>
            <w:vMerge w:val="restart"/>
            <w:shd w:val="clear" w:color="auto" w:fill="auto"/>
            <w:vAlign w:val="center"/>
            <w:hideMark/>
          </w:tcPr>
          <w:p w14:paraId="61568386"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4.1 Democracy</w:t>
            </w:r>
          </w:p>
        </w:tc>
        <w:tc>
          <w:tcPr>
            <w:tcW w:w="2179" w:type="dxa"/>
            <w:vMerge w:val="restart"/>
            <w:shd w:val="clear" w:color="auto" w:fill="auto"/>
            <w:vAlign w:val="center"/>
            <w:hideMark/>
          </w:tcPr>
          <w:p w14:paraId="4F00A33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4.1.1 Coordination in EU matters and Democratic institutions</w:t>
            </w:r>
          </w:p>
        </w:tc>
        <w:tc>
          <w:tcPr>
            <w:tcW w:w="8930" w:type="dxa"/>
            <w:shd w:val="clear" w:color="auto" w:fill="auto"/>
            <w:vAlign w:val="center"/>
            <w:hideMark/>
          </w:tcPr>
          <w:p w14:paraId="66815DC6"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Joint bodies under the SAA functions properly, with </w:t>
            </w:r>
            <w:proofErr w:type="gramStart"/>
            <w:r w:rsidRPr="00AA272E">
              <w:rPr>
                <w:rFonts w:ascii="Calibri" w:eastAsia="Times New Roman" w:hAnsi="Calibri" w:cs="Calibri"/>
                <w:kern w:val="0"/>
                <w:sz w:val="20"/>
                <w:szCs w:val="20"/>
                <w:lang w:eastAsia="en-GB"/>
                <w14:ligatures w14:val="none"/>
              </w:rPr>
              <w:t>efficient  working</w:t>
            </w:r>
            <w:proofErr w:type="gramEnd"/>
            <w:r w:rsidRPr="00AA272E">
              <w:rPr>
                <w:rFonts w:ascii="Calibri" w:eastAsia="Times New Roman" w:hAnsi="Calibri" w:cs="Calibri"/>
                <w:kern w:val="0"/>
                <w:sz w:val="20"/>
                <w:szCs w:val="20"/>
                <w:lang w:eastAsia="en-GB"/>
                <w14:ligatures w14:val="none"/>
              </w:rPr>
              <w:t xml:space="preserve"> methods, with a single efficient and effective entry point for coordination on EU integration (</w:t>
            </w:r>
            <w:r w:rsidRPr="00AA272E">
              <w:rPr>
                <w:rFonts w:ascii="Calibri" w:eastAsia="Times New Roman" w:hAnsi="Calibri" w:cs="Calibri"/>
                <w:b/>
                <w:bCs/>
                <w:kern w:val="0"/>
                <w:sz w:val="20"/>
                <w:szCs w:val="20"/>
                <w:lang w:eastAsia="en-GB"/>
                <w14:ligatures w14:val="none"/>
              </w:rPr>
              <w:t>December 2024</w:t>
            </w:r>
            <w:r w:rsidRPr="00AA272E">
              <w:rPr>
                <w:rFonts w:ascii="Calibri" w:eastAsia="Times New Roman" w:hAnsi="Calibri" w:cs="Calibri"/>
                <w:kern w:val="0"/>
                <w:sz w:val="20"/>
                <w:szCs w:val="20"/>
                <w:lang w:eastAsia="en-GB"/>
                <w14:ligatures w14:val="none"/>
              </w:rPr>
              <w:t>)</w:t>
            </w:r>
          </w:p>
        </w:tc>
      </w:tr>
      <w:tr w:rsidR="00FC0B4D" w:rsidRPr="00AA272E" w14:paraId="6E331426" w14:textId="77777777" w:rsidTr="00FC0B4D">
        <w:trPr>
          <w:trHeight w:val="652"/>
        </w:trPr>
        <w:tc>
          <w:tcPr>
            <w:tcW w:w="1371" w:type="dxa"/>
            <w:vMerge/>
            <w:vAlign w:val="center"/>
            <w:hideMark/>
          </w:tcPr>
          <w:p w14:paraId="0166F968" w14:textId="77777777"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67ABC15" w14:textId="77777777"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D8E5F67" w14:textId="77777777"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29EEB555" w14:textId="795F7DAF"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Improve the functioning of the EU coordination mechanism </w:t>
            </w:r>
            <w:r w:rsidRPr="00AA272E">
              <w:rPr>
                <w:rFonts w:ascii="Calibri" w:eastAsia="Times New Roman" w:hAnsi="Calibri" w:cs="Calibri"/>
                <w:b/>
                <w:bCs/>
                <w:color w:val="375623"/>
                <w:kern w:val="0"/>
                <w:sz w:val="20"/>
                <w:szCs w:val="20"/>
                <w:lang w:eastAsia="en-GB"/>
                <w14:ligatures w14:val="none"/>
              </w:rPr>
              <w:t>within the</w:t>
            </w:r>
            <w:r w:rsidRPr="00AA272E">
              <w:rPr>
                <w:rFonts w:ascii="Calibri" w:eastAsia="Times New Roman" w:hAnsi="Calibri" w:cs="Calibri"/>
                <w:kern w:val="0"/>
                <w:sz w:val="20"/>
                <w:szCs w:val="20"/>
                <w:lang w:eastAsia="en-GB"/>
                <w14:ligatures w14:val="none"/>
              </w:rPr>
              <w:t xml:space="preserve"> country notably</w:t>
            </w:r>
            <w:r w:rsidRPr="00AA272E">
              <w:rPr>
                <w:rFonts w:ascii="Calibri" w:eastAsia="Times New Roman" w:hAnsi="Calibri" w:cs="Calibri"/>
                <w:color w:val="000000"/>
                <w:kern w:val="0"/>
                <w:sz w:val="20"/>
                <w:szCs w:val="20"/>
                <w:lang w:eastAsia="en-GB"/>
                <w14:ligatures w14:val="none"/>
              </w:rPr>
              <w:t xml:space="preserve"> by strengthening the quality assurance </w:t>
            </w:r>
            <w:r w:rsidRPr="00AA272E">
              <w:rPr>
                <w:rFonts w:ascii="Calibri" w:eastAsia="Times New Roman" w:hAnsi="Calibri" w:cs="Calibri"/>
                <w:b/>
                <w:bCs/>
                <w:color w:val="375623"/>
                <w:kern w:val="0"/>
                <w:sz w:val="20"/>
                <w:szCs w:val="20"/>
                <w:lang w:eastAsia="en-GB"/>
                <w14:ligatures w14:val="none"/>
              </w:rPr>
              <w:t>process</w:t>
            </w:r>
            <w:r w:rsidRPr="00AA272E">
              <w:rPr>
                <w:rFonts w:ascii="Calibri" w:eastAsia="Times New Roman" w:hAnsi="Calibri" w:cs="Calibri"/>
                <w:color w:val="000000"/>
                <w:kern w:val="0"/>
                <w:sz w:val="20"/>
                <w:szCs w:val="20"/>
                <w:lang w:eastAsia="en-GB"/>
                <w14:ligatures w14:val="none"/>
              </w:rPr>
              <w:t>, in view of preparation for the accession negotiations (</w:t>
            </w:r>
            <w:r w:rsidRPr="00AA272E">
              <w:rPr>
                <w:rFonts w:ascii="Calibri" w:eastAsia="Times New Roman" w:hAnsi="Calibri" w:cs="Calibri"/>
                <w:b/>
                <w:bCs/>
                <w:color w:val="000000"/>
                <w:kern w:val="0"/>
                <w:sz w:val="20"/>
                <w:szCs w:val="20"/>
                <w:lang w:eastAsia="en-GB"/>
                <w14:ligatures w14:val="none"/>
              </w:rPr>
              <w:t>December 2024)</w:t>
            </w:r>
          </w:p>
        </w:tc>
      </w:tr>
      <w:tr w:rsidR="00AA272E" w:rsidRPr="00AA272E" w14:paraId="5BB3C85C" w14:textId="77777777" w:rsidTr="00AA272E">
        <w:trPr>
          <w:trHeight w:val="780"/>
        </w:trPr>
        <w:tc>
          <w:tcPr>
            <w:tcW w:w="1371" w:type="dxa"/>
            <w:vMerge/>
            <w:vAlign w:val="center"/>
            <w:hideMark/>
          </w:tcPr>
          <w:p w14:paraId="4F675D5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B73B43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0D52F8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D8DBC9C"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Adopt the Program for Alignment with the Acquis (‘NPAA’) in line with SAA requirements, notably covering the full EU Acquis, the respective competences for its implementation, the required funding allocation and sources, and administrative capacities. </w:t>
            </w:r>
            <w:r w:rsidRPr="00AA272E">
              <w:rPr>
                <w:rFonts w:ascii="Calibri" w:eastAsia="Times New Roman" w:hAnsi="Calibri" w:cs="Calibri"/>
                <w:b/>
                <w:bCs/>
                <w:kern w:val="0"/>
                <w:sz w:val="20"/>
                <w:szCs w:val="20"/>
                <w:lang w:eastAsia="en-GB"/>
                <w14:ligatures w14:val="none"/>
              </w:rPr>
              <w:t xml:space="preserve"> (June 2025)</w:t>
            </w:r>
          </w:p>
        </w:tc>
      </w:tr>
      <w:tr w:rsidR="00AA272E" w:rsidRPr="00AA272E" w14:paraId="1C701E67" w14:textId="77777777" w:rsidTr="00AA272E">
        <w:trPr>
          <w:trHeight w:val="765"/>
        </w:trPr>
        <w:tc>
          <w:tcPr>
            <w:tcW w:w="1371" w:type="dxa"/>
            <w:vMerge/>
            <w:vAlign w:val="center"/>
            <w:hideMark/>
          </w:tcPr>
          <w:p w14:paraId="1B1A556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5C4A298D"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4.2 Judiciary</w:t>
            </w:r>
          </w:p>
        </w:tc>
        <w:tc>
          <w:tcPr>
            <w:tcW w:w="2179" w:type="dxa"/>
            <w:vMerge w:val="restart"/>
            <w:shd w:val="clear" w:color="auto" w:fill="auto"/>
            <w:vAlign w:val="center"/>
            <w:hideMark/>
          </w:tcPr>
          <w:p w14:paraId="2428F2B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4.2.1 Functioning of the Judiciary </w:t>
            </w:r>
          </w:p>
        </w:tc>
        <w:tc>
          <w:tcPr>
            <w:tcW w:w="8930" w:type="dxa"/>
            <w:shd w:val="clear" w:color="auto" w:fill="auto"/>
            <w:vAlign w:val="center"/>
            <w:hideMark/>
          </w:tcPr>
          <w:p w14:paraId="51F4574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Ensure that the asset declarations of judicial office holders are verified effectively by implementing the integrity-related amendments to the Law on the High Judicial and Prosecutorial Council (HJPC) (</w:t>
            </w:r>
            <w:r w:rsidRPr="00AA272E">
              <w:rPr>
                <w:rFonts w:ascii="Calibri" w:eastAsia="Times New Roman" w:hAnsi="Calibri" w:cs="Calibri"/>
                <w:b/>
                <w:bCs/>
                <w:color w:val="000000"/>
                <w:kern w:val="0"/>
                <w:sz w:val="20"/>
                <w:szCs w:val="20"/>
                <w:lang w:eastAsia="en-GB"/>
                <w14:ligatures w14:val="none"/>
              </w:rPr>
              <w:t>December 2024)</w:t>
            </w:r>
          </w:p>
        </w:tc>
      </w:tr>
      <w:tr w:rsidR="00AA272E" w:rsidRPr="00AA272E" w14:paraId="38971EDE" w14:textId="77777777" w:rsidTr="00AA272E">
        <w:trPr>
          <w:trHeight w:val="510"/>
        </w:trPr>
        <w:tc>
          <w:tcPr>
            <w:tcW w:w="1371" w:type="dxa"/>
            <w:vMerge/>
            <w:vAlign w:val="center"/>
            <w:hideMark/>
          </w:tcPr>
          <w:p w14:paraId="144B26A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216378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95CD04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8AEB09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The transfer of the positions of the HJPC ICT department from project funding to the state budget is complete </w:t>
            </w:r>
            <w:r w:rsidRPr="00AA272E">
              <w:rPr>
                <w:rFonts w:ascii="Calibri" w:eastAsia="Times New Roman" w:hAnsi="Calibri" w:cs="Calibri"/>
                <w:b/>
                <w:bCs/>
                <w:color w:val="000000"/>
                <w:kern w:val="0"/>
                <w:sz w:val="20"/>
                <w:szCs w:val="20"/>
                <w:lang w:eastAsia="en-GB"/>
                <w14:ligatures w14:val="none"/>
              </w:rPr>
              <w:t>(December 2024)</w:t>
            </w:r>
          </w:p>
        </w:tc>
      </w:tr>
      <w:tr w:rsidR="00AA272E" w:rsidRPr="00AA272E" w14:paraId="40422667" w14:textId="77777777" w:rsidTr="00AA272E">
        <w:trPr>
          <w:trHeight w:val="510"/>
        </w:trPr>
        <w:tc>
          <w:tcPr>
            <w:tcW w:w="1371" w:type="dxa"/>
            <w:vMerge/>
            <w:vAlign w:val="center"/>
            <w:hideMark/>
          </w:tcPr>
          <w:p w14:paraId="1887F3EE"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32A5BDA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1B69F22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4A7CBD3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 functioning judicial appellate body is in place at the state level following adoption and implementation of a new Law on the Courts of BiH (</w:t>
            </w:r>
            <w:r w:rsidRPr="00AA272E">
              <w:rPr>
                <w:rFonts w:ascii="Calibri" w:eastAsia="Times New Roman" w:hAnsi="Calibri" w:cs="Calibri"/>
                <w:b/>
                <w:bCs/>
                <w:color w:val="000000"/>
                <w:kern w:val="0"/>
                <w:sz w:val="20"/>
                <w:szCs w:val="20"/>
                <w:lang w:eastAsia="en-GB"/>
                <w14:ligatures w14:val="none"/>
              </w:rPr>
              <w:t>June 2025)</w:t>
            </w:r>
          </w:p>
        </w:tc>
      </w:tr>
      <w:tr w:rsidR="00AA272E" w:rsidRPr="00AA272E" w14:paraId="64D47D4D" w14:textId="77777777" w:rsidTr="00AA272E">
        <w:trPr>
          <w:trHeight w:val="1275"/>
        </w:trPr>
        <w:tc>
          <w:tcPr>
            <w:tcW w:w="1371" w:type="dxa"/>
            <w:vMerge/>
            <w:vAlign w:val="center"/>
            <w:hideMark/>
          </w:tcPr>
          <w:p w14:paraId="44C8265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4D72D6A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9A1ADB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5A9238A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A new comprehensive Law on the HJPC in line with European standards is adopted following consultations with practitioners and civil society, and </w:t>
            </w:r>
            <w:proofErr w:type="gramStart"/>
            <w:r w:rsidRPr="00AA272E">
              <w:rPr>
                <w:rFonts w:ascii="Calibri" w:eastAsia="Times New Roman" w:hAnsi="Calibri" w:cs="Calibri"/>
                <w:color w:val="000000"/>
                <w:kern w:val="0"/>
                <w:sz w:val="20"/>
                <w:szCs w:val="20"/>
                <w:lang w:eastAsia="en-GB"/>
                <w14:ligatures w14:val="none"/>
              </w:rPr>
              <w:t>taking into account</w:t>
            </w:r>
            <w:proofErr w:type="gramEnd"/>
            <w:r w:rsidRPr="00AA272E">
              <w:rPr>
                <w:rFonts w:ascii="Calibri" w:eastAsia="Times New Roman" w:hAnsi="Calibri" w:cs="Calibri"/>
                <w:color w:val="000000"/>
                <w:kern w:val="0"/>
                <w:sz w:val="20"/>
                <w:szCs w:val="20"/>
                <w:lang w:eastAsia="en-GB"/>
                <w14:ligatures w14:val="none"/>
              </w:rPr>
              <w:t xml:space="preserve"> monitoring results of HJPC integrity amendments; and it is implemented to ensure, among others, an independent judicial disciplinary regime, a performance appraisal system that is based on qualitative criteria, and merit-based appointments (</w:t>
            </w:r>
            <w:r w:rsidRPr="00AA272E">
              <w:rPr>
                <w:rFonts w:ascii="Calibri" w:eastAsia="Times New Roman" w:hAnsi="Calibri" w:cs="Calibri"/>
                <w:b/>
                <w:bCs/>
                <w:color w:val="000000"/>
                <w:kern w:val="0"/>
                <w:sz w:val="20"/>
                <w:szCs w:val="20"/>
                <w:lang w:eastAsia="en-GB"/>
                <w14:ligatures w14:val="none"/>
              </w:rPr>
              <w:t>June 2025)</w:t>
            </w:r>
          </w:p>
        </w:tc>
      </w:tr>
      <w:tr w:rsidR="00AA272E" w:rsidRPr="00AA272E" w14:paraId="2A870EAA" w14:textId="77777777" w:rsidTr="00AA272E">
        <w:trPr>
          <w:trHeight w:val="510"/>
        </w:trPr>
        <w:tc>
          <w:tcPr>
            <w:tcW w:w="1371" w:type="dxa"/>
            <w:vMerge/>
            <w:vAlign w:val="center"/>
            <w:hideMark/>
          </w:tcPr>
          <w:p w14:paraId="46D7CCB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FD6395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863824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5C8A6B75"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The backlog in civil cases concerning utility bills is reduced by 20% and for other civil cases by </w:t>
            </w:r>
            <w:r w:rsidRPr="00AA272E">
              <w:rPr>
                <w:rFonts w:ascii="Calibri" w:eastAsia="Times New Roman" w:hAnsi="Calibri" w:cs="Calibri"/>
                <w:b/>
                <w:bCs/>
                <w:kern w:val="0"/>
                <w:sz w:val="20"/>
                <w:szCs w:val="20"/>
                <w:lang w:eastAsia="en-GB"/>
                <w14:ligatures w14:val="none"/>
              </w:rPr>
              <w:t>10%</w:t>
            </w:r>
            <w:r w:rsidRPr="00AA272E">
              <w:rPr>
                <w:rFonts w:ascii="Calibri" w:eastAsia="Times New Roman" w:hAnsi="Calibri" w:cs="Calibri"/>
                <w:kern w:val="0"/>
                <w:sz w:val="20"/>
                <w:szCs w:val="20"/>
                <w:lang w:eastAsia="en-GB"/>
                <w14:ligatures w14:val="none"/>
              </w:rPr>
              <w:t xml:space="preserve"> (</w:t>
            </w:r>
            <w:r w:rsidRPr="00AA272E">
              <w:rPr>
                <w:rFonts w:ascii="Calibri" w:eastAsia="Times New Roman" w:hAnsi="Calibri" w:cs="Calibri"/>
                <w:b/>
                <w:bCs/>
                <w:kern w:val="0"/>
                <w:sz w:val="20"/>
                <w:szCs w:val="20"/>
                <w:lang w:eastAsia="en-GB"/>
                <w14:ligatures w14:val="none"/>
              </w:rPr>
              <w:t>June 2026)</w:t>
            </w:r>
          </w:p>
        </w:tc>
      </w:tr>
      <w:tr w:rsidR="00AA272E" w:rsidRPr="00AA272E" w14:paraId="2FD44C19" w14:textId="77777777" w:rsidTr="00AA272E">
        <w:trPr>
          <w:trHeight w:val="525"/>
        </w:trPr>
        <w:tc>
          <w:tcPr>
            <w:tcW w:w="1371" w:type="dxa"/>
            <w:vMerge/>
            <w:vAlign w:val="center"/>
            <w:hideMark/>
          </w:tcPr>
          <w:p w14:paraId="1A4A486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EC87D8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5C852D7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C2D09C2"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The backlog in civil cases concerning utility bills is reduced by 50% and for other civil cases by </w:t>
            </w:r>
            <w:r w:rsidRPr="00AA272E">
              <w:rPr>
                <w:rFonts w:ascii="Calibri" w:eastAsia="Times New Roman" w:hAnsi="Calibri" w:cs="Calibri"/>
                <w:b/>
                <w:bCs/>
                <w:kern w:val="0"/>
                <w:sz w:val="20"/>
                <w:szCs w:val="20"/>
                <w:lang w:eastAsia="en-GB"/>
                <w14:ligatures w14:val="none"/>
              </w:rPr>
              <w:t>20%</w:t>
            </w:r>
            <w:r w:rsidRPr="00AA272E">
              <w:rPr>
                <w:rFonts w:ascii="Calibri" w:eastAsia="Times New Roman" w:hAnsi="Calibri" w:cs="Calibri"/>
                <w:kern w:val="0"/>
                <w:sz w:val="20"/>
                <w:szCs w:val="20"/>
                <w:lang w:eastAsia="en-GB"/>
                <w14:ligatures w14:val="none"/>
              </w:rPr>
              <w:t xml:space="preserve"> (</w:t>
            </w:r>
            <w:r w:rsidRPr="00AA272E">
              <w:rPr>
                <w:rFonts w:ascii="Calibri" w:eastAsia="Times New Roman" w:hAnsi="Calibri" w:cs="Calibri"/>
                <w:b/>
                <w:bCs/>
                <w:kern w:val="0"/>
                <w:sz w:val="20"/>
                <w:szCs w:val="20"/>
                <w:lang w:eastAsia="en-GB"/>
                <w14:ligatures w14:val="none"/>
              </w:rPr>
              <w:t>December 2027)</w:t>
            </w:r>
          </w:p>
        </w:tc>
      </w:tr>
      <w:tr w:rsidR="00AA272E" w:rsidRPr="00AA272E" w14:paraId="5DBCBA31" w14:textId="77777777" w:rsidTr="00AA272E">
        <w:trPr>
          <w:trHeight w:val="510"/>
        </w:trPr>
        <w:tc>
          <w:tcPr>
            <w:tcW w:w="1371" w:type="dxa"/>
            <w:vMerge w:val="restart"/>
            <w:shd w:val="clear" w:color="auto" w:fill="auto"/>
            <w:vAlign w:val="center"/>
            <w:hideMark/>
          </w:tcPr>
          <w:p w14:paraId="7E7823C2"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w:t>
            </w:r>
          </w:p>
        </w:tc>
        <w:tc>
          <w:tcPr>
            <w:tcW w:w="1548" w:type="dxa"/>
            <w:vMerge w:val="restart"/>
            <w:shd w:val="clear" w:color="auto" w:fill="auto"/>
            <w:vAlign w:val="center"/>
            <w:hideMark/>
          </w:tcPr>
          <w:p w14:paraId="6200D105"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4.3 Fight against corruption</w:t>
            </w:r>
          </w:p>
        </w:tc>
        <w:tc>
          <w:tcPr>
            <w:tcW w:w="2179" w:type="dxa"/>
            <w:vMerge w:val="restart"/>
            <w:shd w:val="clear" w:color="auto" w:fill="auto"/>
            <w:vAlign w:val="center"/>
            <w:hideMark/>
          </w:tcPr>
          <w:p w14:paraId="545F9D48"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4.3.1 Fight against corruption</w:t>
            </w:r>
          </w:p>
        </w:tc>
        <w:tc>
          <w:tcPr>
            <w:tcW w:w="8930" w:type="dxa"/>
            <w:shd w:val="clear" w:color="auto" w:fill="auto"/>
            <w:vAlign w:val="center"/>
            <w:hideMark/>
          </w:tcPr>
          <w:p w14:paraId="7321C5A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 state-level law on the protection of whistleblowers in line with the</w:t>
            </w:r>
            <w:r w:rsidRPr="00AA272E">
              <w:rPr>
                <w:rFonts w:ascii="Calibri" w:eastAsia="Times New Roman" w:hAnsi="Calibri" w:cs="Calibri"/>
                <w:color w:val="D13438"/>
                <w:kern w:val="0"/>
                <w:sz w:val="20"/>
                <w:szCs w:val="20"/>
                <w:u w:val="single"/>
                <w:lang w:eastAsia="en-GB"/>
                <w14:ligatures w14:val="none"/>
              </w:rPr>
              <w:t xml:space="preserve"> </w:t>
            </w:r>
            <w:r w:rsidRPr="00AA272E">
              <w:rPr>
                <w:rFonts w:ascii="Calibri" w:eastAsia="Times New Roman" w:hAnsi="Calibri" w:cs="Calibri"/>
                <w:color w:val="000000"/>
                <w:kern w:val="0"/>
                <w:sz w:val="20"/>
                <w:szCs w:val="20"/>
                <w:lang w:eastAsia="en-GB"/>
                <w14:ligatures w14:val="none"/>
              </w:rPr>
              <w:t>EU acquis is adopted, to which all other levels of government are then aligned</w:t>
            </w:r>
            <w:r w:rsidRPr="00AA272E">
              <w:rPr>
                <w:rFonts w:ascii="Calibri" w:eastAsia="Times New Roman" w:hAnsi="Calibri" w:cs="Calibri"/>
                <w:strike/>
                <w:color w:val="498205"/>
                <w:kern w:val="0"/>
                <w:sz w:val="20"/>
                <w:szCs w:val="20"/>
                <w:lang w:eastAsia="en-GB"/>
                <w14:ligatures w14:val="none"/>
              </w:rPr>
              <w:t>.</w:t>
            </w:r>
            <w:r w:rsidRPr="00AA272E">
              <w:rPr>
                <w:rFonts w:ascii="Calibri" w:eastAsia="Times New Roman" w:hAnsi="Calibri" w:cs="Calibri"/>
                <w:color w:val="000000"/>
                <w:kern w:val="0"/>
                <w:sz w:val="20"/>
                <w:szCs w:val="20"/>
                <w:lang w:eastAsia="en-GB"/>
                <w14:ligatures w14:val="none"/>
              </w:rPr>
              <w:t xml:space="preserve"> </w:t>
            </w:r>
            <w:r w:rsidRPr="00AA272E">
              <w:rPr>
                <w:rFonts w:ascii="Calibri" w:eastAsia="Times New Roman" w:hAnsi="Calibri" w:cs="Calibri"/>
                <w:b/>
                <w:bCs/>
                <w:color w:val="000000"/>
                <w:kern w:val="0"/>
                <w:sz w:val="20"/>
                <w:szCs w:val="20"/>
                <w:lang w:eastAsia="en-GB"/>
                <w14:ligatures w14:val="none"/>
              </w:rPr>
              <w:t>(June 2025)</w:t>
            </w:r>
            <w:r w:rsidRPr="00AA272E">
              <w:rPr>
                <w:rFonts w:ascii="Calibri" w:eastAsia="Times New Roman" w:hAnsi="Calibri" w:cs="Calibri"/>
                <w:color w:val="000000"/>
                <w:kern w:val="0"/>
                <w:sz w:val="20"/>
                <w:szCs w:val="20"/>
                <w:lang w:eastAsia="en-GB"/>
                <w14:ligatures w14:val="none"/>
              </w:rPr>
              <w:t>  </w:t>
            </w:r>
          </w:p>
        </w:tc>
      </w:tr>
      <w:tr w:rsidR="00AA272E" w:rsidRPr="00AA272E" w14:paraId="58B50F57" w14:textId="77777777" w:rsidTr="00AA272E">
        <w:trPr>
          <w:trHeight w:val="510"/>
        </w:trPr>
        <w:tc>
          <w:tcPr>
            <w:tcW w:w="1371" w:type="dxa"/>
            <w:vMerge/>
            <w:vAlign w:val="center"/>
            <w:hideMark/>
          </w:tcPr>
          <w:p w14:paraId="2C3FC73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5CB360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FE5176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2BF378A"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Align with merit principles and EU standards the state and entity-level laws on </w:t>
            </w:r>
            <w:r w:rsidRPr="00AA272E">
              <w:rPr>
                <w:rFonts w:ascii="Calibri" w:eastAsia="Times New Roman" w:hAnsi="Calibri" w:cs="Calibri"/>
                <w:b/>
                <w:bCs/>
                <w:color w:val="000000"/>
                <w:kern w:val="0"/>
                <w:sz w:val="20"/>
                <w:szCs w:val="20"/>
                <w:lang w:eastAsia="en-GB"/>
                <w14:ligatures w14:val="none"/>
              </w:rPr>
              <w:t>civil service</w:t>
            </w:r>
            <w:r w:rsidRPr="00AA272E">
              <w:rPr>
                <w:rFonts w:ascii="Calibri" w:eastAsia="Times New Roman" w:hAnsi="Calibri" w:cs="Calibri"/>
                <w:color w:val="000000"/>
                <w:kern w:val="0"/>
                <w:sz w:val="20"/>
                <w:szCs w:val="20"/>
                <w:lang w:eastAsia="en-GB"/>
                <w14:ligatures w14:val="none"/>
              </w:rPr>
              <w:t xml:space="preserve"> recruitment, promotion and dismissals, to which cantonal level laws are adapted to (</w:t>
            </w:r>
            <w:r w:rsidRPr="00AA272E">
              <w:rPr>
                <w:rFonts w:ascii="Calibri" w:eastAsia="Times New Roman" w:hAnsi="Calibri" w:cs="Calibri"/>
                <w:b/>
                <w:bCs/>
                <w:color w:val="000000"/>
                <w:kern w:val="0"/>
                <w:sz w:val="20"/>
                <w:szCs w:val="20"/>
                <w:lang w:eastAsia="en-GB"/>
                <w14:ligatures w14:val="none"/>
              </w:rPr>
              <w:t>June 2025)</w:t>
            </w:r>
            <w:r w:rsidRPr="00AA272E">
              <w:rPr>
                <w:rFonts w:ascii="Calibri" w:eastAsia="Times New Roman" w:hAnsi="Calibri" w:cs="Calibri"/>
                <w:color w:val="000000"/>
                <w:kern w:val="0"/>
                <w:sz w:val="20"/>
                <w:szCs w:val="20"/>
                <w:lang w:eastAsia="en-GB"/>
                <w14:ligatures w14:val="none"/>
              </w:rPr>
              <w:t> </w:t>
            </w:r>
          </w:p>
        </w:tc>
      </w:tr>
      <w:tr w:rsidR="00AA272E" w:rsidRPr="00AA272E" w14:paraId="6D9050C7" w14:textId="77777777" w:rsidTr="00AA272E">
        <w:trPr>
          <w:trHeight w:val="1275"/>
        </w:trPr>
        <w:tc>
          <w:tcPr>
            <w:tcW w:w="1371" w:type="dxa"/>
            <w:vMerge/>
            <w:vAlign w:val="center"/>
            <w:hideMark/>
          </w:tcPr>
          <w:p w14:paraId="351A6AA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517B422B"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0A644D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5AC929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A functioning system is in place for the prevention and repression of </w:t>
            </w:r>
            <w:r w:rsidRPr="00AA272E">
              <w:rPr>
                <w:rFonts w:ascii="Calibri" w:eastAsia="Times New Roman" w:hAnsi="Calibri" w:cs="Calibri"/>
                <w:b/>
                <w:bCs/>
                <w:color w:val="000000"/>
                <w:kern w:val="0"/>
                <w:sz w:val="20"/>
                <w:szCs w:val="20"/>
                <w:lang w:eastAsia="en-GB"/>
                <w14:ligatures w14:val="none"/>
              </w:rPr>
              <w:t>conflict of interest</w:t>
            </w:r>
            <w:r w:rsidRPr="00AA272E">
              <w:rPr>
                <w:rFonts w:ascii="Calibri" w:eastAsia="Times New Roman" w:hAnsi="Calibri" w:cs="Calibri"/>
                <w:color w:val="000000"/>
                <w:kern w:val="0"/>
                <w:sz w:val="20"/>
                <w:szCs w:val="20"/>
                <w:lang w:eastAsia="en-GB"/>
                <w14:ligatures w14:val="none"/>
              </w:rPr>
              <w:t>, notably by aligning the legislative framework with European standards at all levels of government; by setting up an independent and professional Commission for the Conflict of Interest at the state level; and by setting up functioning and independent anticorruption bodies at the entity and cantonal levels (</w:t>
            </w:r>
            <w:r w:rsidRPr="00AA272E">
              <w:rPr>
                <w:rFonts w:ascii="Calibri" w:eastAsia="Times New Roman" w:hAnsi="Calibri" w:cs="Calibri"/>
                <w:b/>
                <w:bCs/>
                <w:color w:val="000000"/>
                <w:kern w:val="0"/>
                <w:sz w:val="20"/>
                <w:szCs w:val="20"/>
                <w:lang w:eastAsia="en-GB"/>
                <w14:ligatures w14:val="none"/>
              </w:rPr>
              <w:t>December 2025)</w:t>
            </w:r>
            <w:r w:rsidRPr="00AA272E">
              <w:rPr>
                <w:rFonts w:ascii="Calibri" w:eastAsia="Times New Roman" w:hAnsi="Calibri" w:cs="Calibri"/>
                <w:color w:val="A4262C"/>
                <w:kern w:val="0"/>
                <w:sz w:val="20"/>
                <w:szCs w:val="20"/>
                <w:lang w:eastAsia="en-GB"/>
                <w14:ligatures w14:val="none"/>
              </w:rPr>
              <w:t> </w:t>
            </w:r>
          </w:p>
        </w:tc>
      </w:tr>
      <w:tr w:rsidR="00AA272E" w:rsidRPr="00AA272E" w14:paraId="46C0A377" w14:textId="77777777" w:rsidTr="00AA272E">
        <w:trPr>
          <w:trHeight w:val="765"/>
        </w:trPr>
        <w:tc>
          <w:tcPr>
            <w:tcW w:w="1371" w:type="dxa"/>
            <w:vMerge/>
            <w:vAlign w:val="center"/>
            <w:hideMark/>
          </w:tcPr>
          <w:p w14:paraId="5477D14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3A3D1A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EADE29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3FDB3B5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kern w:val="0"/>
                <w:sz w:val="20"/>
                <w:szCs w:val="20"/>
                <w:lang w:eastAsia="en-GB"/>
                <w14:ligatures w14:val="none"/>
              </w:rPr>
              <w:t xml:space="preserve">Respective legislation covering public </w:t>
            </w:r>
            <w:proofErr w:type="gramStart"/>
            <w:r w:rsidRPr="00AA272E">
              <w:rPr>
                <w:rFonts w:ascii="Calibri" w:eastAsia="Times New Roman" w:hAnsi="Calibri" w:cs="Calibri"/>
                <w:kern w:val="0"/>
                <w:sz w:val="20"/>
                <w:szCs w:val="20"/>
                <w:lang w:eastAsia="en-GB"/>
                <w14:ligatures w14:val="none"/>
              </w:rPr>
              <w:t>procurement  concessions</w:t>
            </w:r>
            <w:proofErr w:type="gramEnd"/>
            <w:r w:rsidRPr="00AA272E">
              <w:rPr>
                <w:rFonts w:ascii="Calibri" w:eastAsia="Times New Roman" w:hAnsi="Calibri" w:cs="Calibri"/>
                <w:kern w:val="0"/>
                <w:sz w:val="20"/>
                <w:szCs w:val="20"/>
                <w:lang w:eastAsia="en-GB"/>
                <w14:ligatures w14:val="none"/>
              </w:rPr>
              <w:t xml:space="preserve"> and public private partnerships is brought in line with EU Acquis, and</w:t>
            </w:r>
            <w:r w:rsidRPr="00AA272E">
              <w:rPr>
                <w:rFonts w:ascii="Calibri" w:eastAsia="Times New Roman" w:hAnsi="Calibri" w:cs="Calibri"/>
                <w:strike/>
                <w:kern w:val="0"/>
                <w:sz w:val="20"/>
                <w:szCs w:val="20"/>
                <w:lang w:eastAsia="en-GB"/>
                <w14:ligatures w14:val="none"/>
              </w:rPr>
              <w:t xml:space="preserve"> </w:t>
            </w:r>
            <w:r w:rsidRPr="00AA272E">
              <w:rPr>
                <w:rFonts w:ascii="Calibri" w:eastAsia="Times New Roman" w:hAnsi="Calibri" w:cs="Calibri"/>
                <w:kern w:val="0"/>
                <w:sz w:val="20"/>
                <w:szCs w:val="20"/>
                <w:lang w:eastAsia="en-GB"/>
                <w14:ligatures w14:val="none"/>
              </w:rPr>
              <w:t> the Public Procurement Review Bodies at the state</w:t>
            </w:r>
            <w:r w:rsidRPr="00AA272E">
              <w:rPr>
                <w:rFonts w:ascii="Calibri" w:eastAsia="Times New Roman" w:hAnsi="Calibri" w:cs="Calibri"/>
                <w:strike/>
                <w:kern w:val="0"/>
                <w:sz w:val="20"/>
                <w:szCs w:val="20"/>
                <w:lang w:eastAsia="en-GB"/>
                <w14:ligatures w14:val="none"/>
              </w:rPr>
              <w:t xml:space="preserve"> </w:t>
            </w:r>
            <w:r w:rsidRPr="00AA272E">
              <w:rPr>
                <w:rFonts w:ascii="Calibri" w:eastAsia="Times New Roman" w:hAnsi="Calibri" w:cs="Calibri"/>
                <w:kern w:val="0"/>
                <w:sz w:val="20"/>
                <w:szCs w:val="20"/>
                <w:lang w:eastAsia="en-GB"/>
                <w14:ligatures w14:val="none"/>
              </w:rPr>
              <w:t xml:space="preserve">and entities level adequately staffed in order to fulfil their mandate </w:t>
            </w:r>
            <w:r w:rsidRPr="00AA272E">
              <w:rPr>
                <w:rFonts w:ascii="Calibri" w:eastAsia="Times New Roman" w:hAnsi="Calibri" w:cs="Calibri"/>
                <w:color w:val="000000"/>
                <w:kern w:val="0"/>
                <w:sz w:val="20"/>
                <w:szCs w:val="20"/>
                <w:lang w:eastAsia="en-GB"/>
                <w14:ligatures w14:val="none"/>
              </w:rPr>
              <w:t>(</w:t>
            </w:r>
            <w:r w:rsidRPr="00AA272E">
              <w:rPr>
                <w:rFonts w:ascii="Calibri" w:eastAsia="Times New Roman" w:hAnsi="Calibri" w:cs="Calibri"/>
                <w:b/>
                <w:bCs/>
                <w:color w:val="000000"/>
                <w:kern w:val="0"/>
                <w:sz w:val="20"/>
                <w:szCs w:val="20"/>
                <w:lang w:eastAsia="en-GB"/>
                <w14:ligatures w14:val="none"/>
              </w:rPr>
              <w:t>December 2025)</w:t>
            </w:r>
            <w:r w:rsidRPr="00AA272E">
              <w:rPr>
                <w:rFonts w:ascii="Calibri" w:eastAsia="Times New Roman" w:hAnsi="Calibri" w:cs="Calibri"/>
                <w:color w:val="000000"/>
                <w:kern w:val="0"/>
                <w:sz w:val="20"/>
                <w:szCs w:val="20"/>
                <w:lang w:eastAsia="en-GB"/>
                <w14:ligatures w14:val="none"/>
              </w:rPr>
              <w:t> </w:t>
            </w:r>
          </w:p>
        </w:tc>
      </w:tr>
      <w:tr w:rsidR="00FC0B4D" w:rsidRPr="00AA272E" w14:paraId="6AE6D6BD" w14:textId="77777777" w:rsidTr="00FC0B4D">
        <w:trPr>
          <w:trHeight w:val="450"/>
        </w:trPr>
        <w:tc>
          <w:tcPr>
            <w:tcW w:w="1371" w:type="dxa"/>
            <w:vMerge/>
            <w:vAlign w:val="center"/>
            <w:hideMark/>
          </w:tcPr>
          <w:p w14:paraId="674BF607" w14:textId="77777777"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82A56AA" w14:textId="77777777"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B4B95B8" w14:textId="77777777" w:rsidR="00FC0B4D" w:rsidRPr="00AA272E" w:rsidRDefault="00FC0B4D"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000000" w:fill="FFFFFF"/>
            <w:vAlign w:val="center"/>
            <w:hideMark/>
          </w:tcPr>
          <w:p w14:paraId="5DBB8524" w14:textId="77777777" w:rsidR="00FC0B4D" w:rsidRPr="00AA272E" w:rsidRDefault="00FC0B4D"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Legislation on competition policy is implemented and harmonised with European standards (</w:t>
            </w:r>
            <w:r w:rsidRPr="00AA272E">
              <w:rPr>
                <w:rFonts w:ascii="Calibri" w:eastAsia="Times New Roman" w:hAnsi="Calibri" w:cs="Calibri"/>
                <w:b/>
                <w:bCs/>
                <w:kern w:val="0"/>
                <w:sz w:val="20"/>
                <w:szCs w:val="20"/>
                <w:lang w:eastAsia="en-GB"/>
                <w14:ligatures w14:val="none"/>
              </w:rPr>
              <w:t>June 2027</w:t>
            </w:r>
            <w:r w:rsidRPr="00AA272E">
              <w:rPr>
                <w:rFonts w:ascii="Calibri" w:eastAsia="Times New Roman" w:hAnsi="Calibri" w:cs="Calibri"/>
                <w:kern w:val="0"/>
                <w:sz w:val="20"/>
                <w:szCs w:val="20"/>
                <w:lang w:eastAsia="en-GB"/>
                <w14:ligatures w14:val="none"/>
              </w:rPr>
              <w:t>)</w:t>
            </w:r>
          </w:p>
        </w:tc>
      </w:tr>
      <w:tr w:rsidR="00AA272E" w:rsidRPr="00AA272E" w14:paraId="066A2C3E" w14:textId="77777777" w:rsidTr="00AA272E">
        <w:trPr>
          <w:trHeight w:val="525"/>
        </w:trPr>
        <w:tc>
          <w:tcPr>
            <w:tcW w:w="1371" w:type="dxa"/>
            <w:vMerge/>
            <w:vAlign w:val="center"/>
            <w:hideMark/>
          </w:tcPr>
          <w:p w14:paraId="6B315FF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03C4EF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4AF374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50E83977"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An increase in the number of investigations, confirmed indictments and convictions is demonstrated in cases of corruption, including at high level (</w:t>
            </w:r>
            <w:r w:rsidRPr="00AA272E">
              <w:rPr>
                <w:rFonts w:ascii="Calibri" w:eastAsia="Times New Roman" w:hAnsi="Calibri" w:cs="Calibri"/>
                <w:b/>
                <w:bCs/>
                <w:color w:val="000000"/>
                <w:kern w:val="0"/>
                <w:sz w:val="20"/>
                <w:szCs w:val="20"/>
                <w:lang w:eastAsia="en-GB"/>
                <w14:ligatures w14:val="none"/>
              </w:rPr>
              <w:t>June 2027) </w:t>
            </w:r>
            <w:r w:rsidRPr="00AA272E">
              <w:rPr>
                <w:rFonts w:ascii="Calibri" w:eastAsia="Times New Roman" w:hAnsi="Calibri" w:cs="Calibri"/>
                <w:color w:val="498205"/>
                <w:kern w:val="0"/>
                <w:sz w:val="20"/>
                <w:szCs w:val="20"/>
                <w:lang w:eastAsia="en-GB"/>
                <w14:ligatures w14:val="none"/>
              </w:rPr>
              <w:t> </w:t>
            </w:r>
          </w:p>
        </w:tc>
      </w:tr>
      <w:tr w:rsidR="00AA272E" w:rsidRPr="00AA272E" w14:paraId="49838A71" w14:textId="77777777" w:rsidTr="00AA272E">
        <w:trPr>
          <w:trHeight w:val="510"/>
        </w:trPr>
        <w:tc>
          <w:tcPr>
            <w:tcW w:w="1371" w:type="dxa"/>
            <w:vMerge/>
            <w:vAlign w:val="center"/>
            <w:hideMark/>
          </w:tcPr>
          <w:p w14:paraId="32300BF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784884A1"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4.4 Fight against organised crime</w:t>
            </w:r>
          </w:p>
        </w:tc>
        <w:tc>
          <w:tcPr>
            <w:tcW w:w="2179" w:type="dxa"/>
            <w:vMerge w:val="restart"/>
            <w:shd w:val="clear" w:color="auto" w:fill="auto"/>
            <w:vAlign w:val="center"/>
            <w:hideMark/>
          </w:tcPr>
          <w:p w14:paraId="11151CA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4.4.1 Strengthen the fight against </w:t>
            </w:r>
            <w:r w:rsidRPr="00AA272E">
              <w:rPr>
                <w:rFonts w:ascii="Calibri" w:eastAsia="Times New Roman" w:hAnsi="Calibri" w:cs="Calibri"/>
                <w:b/>
                <w:bCs/>
                <w:color w:val="000000"/>
                <w:kern w:val="0"/>
                <w:sz w:val="20"/>
                <w:szCs w:val="20"/>
                <w:lang w:eastAsia="en-GB"/>
                <w14:ligatures w14:val="none"/>
              </w:rPr>
              <w:t>organised crime</w:t>
            </w:r>
            <w:r w:rsidRPr="00AA272E">
              <w:rPr>
                <w:rFonts w:ascii="Calibri" w:eastAsia="Times New Roman" w:hAnsi="Calibri" w:cs="Calibri"/>
                <w:color w:val="000000"/>
                <w:kern w:val="0"/>
                <w:sz w:val="20"/>
                <w:szCs w:val="20"/>
                <w:lang w:eastAsia="en-GB"/>
                <w14:ligatures w14:val="none"/>
              </w:rPr>
              <w:t xml:space="preserve"> by improving institutional cooperation among law enforcement agencies </w:t>
            </w:r>
            <w:r w:rsidRPr="00AA272E">
              <w:rPr>
                <w:rFonts w:ascii="Calibri" w:eastAsia="Times New Roman" w:hAnsi="Calibri" w:cs="Calibri"/>
                <w:color w:val="000000"/>
                <w:kern w:val="0"/>
                <w:sz w:val="20"/>
                <w:szCs w:val="20"/>
                <w:lang w:eastAsia="en-GB"/>
                <w14:ligatures w14:val="none"/>
              </w:rPr>
              <w:lastRenderedPageBreak/>
              <w:t>and with prosecutors’ offices and courts; establishing specialised multi-agency investigation teams for complex cases; and implementing strategic, intelligence-led approach to fighting organised crime, leading to increase in convictions.</w:t>
            </w:r>
          </w:p>
        </w:tc>
        <w:tc>
          <w:tcPr>
            <w:tcW w:w="8930" w:type="dxa"/>
            <w:shd w:val="clear" w:color="auto" w:fill="auto"/>
            <w:vAlign w:val="center"/>
            <w:hideMark/>
          </w:tcPr>
          <w:p w14:paraId="71F84E5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lastRenderedPageBreak/>
              <w:t>A mechanism is in place for tracing and recovery of assets derived through illegal activities at state and entity level (</w:t>
            </w:r>
            <w:r w:rsidRPr="00AA272E">
              <w:rPr>
                <w:rFonts w:ascii="Calibri" w:eastAsia="Times New Roman" w:hAnsi="Calibri" w:cs="Calibri"/>
                <w:b/>
                <w:bCs/>
                <w:color w:val="000000"/>
                <w:kern w:val="0"/>
                <w:sz w:val="20"/>
                <w:szCs w:val="20"/>
                <w:lang w:eastAsia="en-GB"/>
                <w14:ligatures w14:val="none"/>
              </w:rPr>
              <w:t>June 2025)</w:t>
            </w:r>
          </w:p>
        </w:tc>
      </w:tr>
      <w:tr w:rsidR="00AA272E" w:rsidRPr="00AA272E" w14:paraId="4C6D2E4A" w14:textId="77777777" w:rsidTr="00AA272E">
        <w:trPr>
          <w:trHeight w:val="510"/>
        </w:trPr>
        <w:tc>
          <w:tcPr>
            <w:tcW w:w="1371" w:type="dxa"/>
            <w:vMerge/>
            <w:vAlign w:val="center"/>
            <w:hideMark/>
          </w:tcPr>
          <w:p w14:paraId="5662E78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B58A45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2A4B0D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031FD8EF"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 xml:space="preserve">Increased number of investigations </w:t>
            </w:r>
            <w:proofErr w:type="gramStart"/>
            <w:r w:rsidRPr="00AA272E">
              <w:rPr>
                <w:rFonts w:ascii="Calibri" w:eastAsia="Times New Roman" w:hAnsi="Calibri" w:cs="Calibri"/>
                <w:color w:val="000000"/>
                <w:kern w:val="0"/>
                <w:sz w:val="20"/>
                <w:szCs w:val="20"/>
                <w:lang w:eastAsia="en-GB"/>
                <w14:ligatures w14:val="none"/>
              </w:rPr>
              <w:t>through the use of</w:t>
            </w:r>
            <w:proofErr w:type="gramEnd"/>
            <w:r w:rsidRPr="00AA272E">
              <w:rPr>
                <w:rFonts w:ascii="Calibri" w:eastAsia="Times New Roman" w:hAnsi="Calibri" w:cs="Calibri"/>
                <w:color w:val="000000"/>
                <w:kern w:val="0"/>
                <w:sz w:val="20"/>
                <w:szCs w:val="20"/>
                <w:lang w:eastAsia="en-GB"/>
                <w14:ligatures w14:val="none"/>
              </w:rPr>
              <w:t xml:space="preserve"> intelligence-led policing approach or joint investigation teams is demonstrated (</w:t>
            </w:r>
            <w:r w:rsidRPr="00AA272E">
              <w:rPr>
                <w:rFonts w:ascii="Calibri" w:eastAsia="Times New Roman" w:hAnsi="Calibri" w:cs="Calibri"/>
                <w:b/>
                <w:bCs/>
                <w:color w:val="000000"/>
                <w:kern w:val="0"/>
                <w:sz w:val="20"/>
                <w:szCs w:val="20"/>
                <w:lang w:eastAsia="en-GB"/>
                <w14:ligatures w14:val="none"/>
              </w:rPr>
              <w:t>June 2025)</w:t>
            </w:r>
          </w:p>
        </w:tc>
      </w:tr>
      <w:tr w:rsidR="00AA272E" w:rsidRPr="00AA272E" w14:paraId="6FCDCD97" w14:textId="77777777" w:rsidTr="00AA272E">
        <w:trPr>
          <w:trHeight w:val="300"/>
        </w:trPr>
        <w:tc>
          <w:tcPr>
            <w:tcW w:w="1371" w:type="dxa"/>
            <w:vMerge/>
            <w:vAlign w:val="center"/>
            <w:hideMark/>
          </w:tcPr>
          <w:p w14:paraId="1395BC0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725A342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098F821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617DFEDF" w14:textId="77777777" w:rsidR="00AA272E" w:rsidRPr="00AA272E" w:rsidRDefault="00AA272E" w:rsidP="00AA272E">
            <w:pPr>
              <w:spacing w:after="0" w:line="240" w:lineRule="auto"/>
              <w:ind w:right="4463"/>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An increase in stand-alone financial investigations is demonstrated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3FAAB583" w14:textId="77777777" w:rsidTr="00AA272E">
        <w:trPr>
          <w:trHeight w:val="525"/>
        </w:trPr>
        <w:tc>
          <w:tcPr>
            <w:tcW w:w="1371" w:type="dxa"/>
            <w:vMerge/>
            <w:vAlign w:val="center"/>
            <w:hideMark/>
          </w:tcPr>
          <w:p w14:paraId="45551C6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D2E9F4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30A0A80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E5A001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Increased number of investigations, confirmed indictments and convictions is demonstrated in cases of organised and serious crime (</w:t>
            </w:r>
            <w:r w:rsidRPr="00AA272E">
              <w:rPr>
                <w:rFonts w:ascii="Calibri" w:eastAsia="Times New Roman" w:hAnsi="Calibri" w:cs="Calibri"/>
                <w:b/>
                <w:bCs/>
                <w:color w:val="000000"/>
                <w:kern w:val="0"/>
                <w:sz w:val="20"/>
                <w:szCs w:val="20"/>
                <w:lang w:eastAsia="en-GB"/>
                <w14:ligatures w14:val="none"/>
              </w:rPr>
              <w:t>June 2027)</w:t>
            </w:r>
          </w:p>
        </w:tc>
      </w:tr>
      <w:tr w:rsidR="00AA272E" w:rsidRPr="00AA272E" w14:paraId="22DF1DDF" w14:textId="77777777" w:rsidTr="00AA272E">
        <w:trPr>
          <w:trHeight w:val="510"/>
        </w:trPr>
        <w:tc>
          <w:tcPr>
            <w:tcW w:w="1371" w:type="dxa"/>
            <w:vMerge/>
            <w:vAlign w:val="center"/>
            <w:hideMark/>
          </w:tcPr>
          <w:p w14:paraId="13022ECC"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restart"/>
            <w:shd w:val="clear" w:color="auto" w:fill="auto"/>
            <w:vAlign w:val="center"/>
            <w:hideMark/>
          </w:tcPr>
          <w:p w14:paraId="55C9F12B" w14:textId="77777777" w:rsidR="00AA272E" w:rsidRPr="00AA272E" w:rsidRDefault="00AA272E" w:rsidP="00AA272E">
            <w:pPr>
              <w:spacing w:after="0" w:line="240" w:lineRule="auto"/>
              <w:jc w:val="center"/>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4.5 Fundamental rights</w:t>
            </w:r>
          </w:p>
        </w:tc>
        <w:tc>
          <w:tcPr>
            <w:tcW w:w="2179" w:type="dxa"/>
            <w:vMerge w:val="restart"/>
            <w:shd w:val="clear" w:color="auto" w:fill="auto"/>
            <w:vAlign w:val="center"/>
            <w:hideMark/>
          </w:tcPr>
          <w:p w14:paraId="3F35ED2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4.5.1 Fundamental rights</w:t>
            </w:r>
          </w:p>
        </w:tc>
        <w:tc>
          <w:tcPr>
            <w:tcW w:w="8930" w:type="dxa"/>
            <w:shd w:val="clear" w:color="auto" w:fill="auto"/>
            <w:vAlign w:val="center"/>
            <w:hideMark/>
          </w:tcPr>
          <w:p w14:paraId="12D754D9"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Cases of threats and violence against journalists and media workers are transparently and effectively registered and followed up by police and judiciary (</w:t>
            </w:r>
            <w:r w:rsidRPr="00AA272E">
              <w:rPr>
                <w:rFonts w:ascii="Calibri" w:eastAsia="Times New Roman" w:hAnsi="Calibri" w:cs="Calibri"/>
                <w:b/>
                <w:bCs/>
                <w:color w:val="000000"/>
                <w:kern w:val="0"/>
                <w:sz w:val="20"/>
                <w:szCs w:val="20"/>
                <w:lang w:eastAsia="en-GB"/>
                <w14:ligatures w14:val="none"/>
              </w:rPr>
              <w:t>December 2024)</w:t>
            </w:r>
          </w:p>
        </w:tc>
      </w:tr>
      <w:tr w:rsidR="00AA272E" w:rsidRPr="00AA272E" w14:paraId="18798982" w14:textId="77777777" w:rsidTr="00AA272E">
        <w:trPr>
          <w:trHeight w:val="300"/>
        </w:trPr>
        <w:tc>
          <w:tcPr>
            <w:tcW w:w="1371" w:type="dxa"/>
            <w:vMerge/>
            <w:vAlign w:val="center"/>
            <w:hideMark/>
          </w:tcPr>
          <w:p w14:paraId="6489B2E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11A0246D"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47A2366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350DC7DD" w14:textId="77777777" w:rsidR="00AA272E" w:rsidRPr="00AA272E" w:rsidRDefault="00AA272E" w:rsidP="00AA272E">
            <w:pPr>
              <w:spacing w:after="0" w:line="240" w:lineRule="auto"/>
              <w:rPr>
                <w:rFonts w:ascii="Calibri" w:eastAsia="Times New Roman" w:hAnsi="Calibri" w:cs="Calibri"/>
                <w:kern w:val="0"/>
                <w:sz w:val="20"/>
                <w:szCs w:val="20"/>
                <w:lang w:eastAsia="en-GB"/>
                <w14:ligatures w14:val="none"/>
              </w:rPr>
            </w:pPr>
            <w:r w:rsidRPr="00AA272E">
              <w:rPr>
                <w:rFonts w:ascii="Calibri" w:eastAsia="Times New Roman" w:hAnsi="Calibri" w:cs="Calibri"/>
                <w:kern w:val="0"/>
                <w:sz w:val="20"/>
                <w:szCs w:val="20"/>
                <w:lang w:eastAsia="en-GB"/>
                <w14:ligatures w14:val="none"/>
              </w:rPr>
              <w:t>Defamation is decriminalized across the country. (</w:t>
            </w:r>
            <w:r w:rsidRPr="00AA272E">
              <w:rPr>
                <w:rFonts w:ascii="Calibri" w:eastAsia="Times New Roman" w:hAnsi="Calibri" w:cs="Calibri"/>
                <w:b/>
                <w:bCs/>
                <w:kern w:val="0"/>
                <w:sz w:val="20"/>
                <w:szCs w:val="20"/>
                <w:lang w:eastAsia="en-GB"/>
                <w14:ligatures w14:val="none"/>
              </w:rPr>
              <w:t>December 2027)</w:t>
            </w:r>
          </w:p>
        </w:tc>
      </w:tr>
      <w:tr w:rsidR="00AA272E" w:rsidRPr="00AA272E" w14:paraId="1B9B4D88" w14:textId="77777777" w:rsidTr="00AA272E">
        <w:trPr>
          <w:trHeight w:val="765"/>
        </w:trPr>
        <w:tc>
          <w:tcPr>
            <w:tcW w:w="1371" w:type="dxa"/>
            <w:vMerge/>
            <w:vAlign w:val="center"/>
            <w:hideMark/>
          </w:tcPr>
          <w:p w14:paraId="099D0B15"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68BEE9B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7F18D716"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77005D60"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The steering boards of public broadcasters are fully composed, the debts of entity broadcasters with BHRT are settled, and BHRT has a sustainable fee collection system by adopting a new BiH Law on Public Broadcasting System (</w:t>
            </w:r>
            <w:r w:rsidRPr="00AA272E">
              <w:rPr>
                <w:rFonts w:ascii="Calibri" w:eastAsia="Times New Roman" w:hAnsi="Calibri" w:cs="Calibri"/>
                <w:b/>
                <w:bCs/>
                <w:color w:val="000000"/>
                <w:kern w:val="0"/>
                <w:sz w:val="20"/>
                <w:szCs w:val="20"/>
                <w:lang w:eastAsia="en-GB"/>
                <w14:ligatures w14:val="none"/>
              </w:rPr>
              <w:t>December 2025)</w:t>
            </w:r>
          </w:p>
        </w:tc>
      </w:tr>
      <w:tr w:rsidR="00AA272E" w:rsidRPr="00AA272E" w14:paraId="0E4B0383" w14:textId="77777777" w:rsidTr="00AA272E">
        <w:trPr>
          <w:trHeight w:val="780"/>
        </w:trPr>
        <w:tc>
          <w:tcPr>
            <w:tcW w:w="1371" w:type="dxa"/>
            <w:vMerge/>
            <w:vAlign w:val="center"/>
            <w:hideMark/>
          </w:tcPr>
          <w:p w14:paraId="2FFA24E3"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1548" w:type="dxa"/>
            <w:vMerge/>
            <w:vAlign w:val="center"/>
            <w:hideMark/>
          </w:tcPr>
          <w:p w14:paraId="2A65E112"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2179" w:type="dxa"/>
            <w:vMerge/>
            <w:vAlign w:val="center"/>
            <w:hideMark/>
          </w:tcPr>
          <w:p w14:paraId="217849C1"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p>
        </w:tc>
        <w:tc>
          <w:tcPr>
            <w:tcW w:w="8930" w:type="dxa"/>
            <w:shd w:val="clear" w:color="auto" w:fill="auto"/>
            <w:vAlign w:val="center"/>
            <w:hideMark/>
          </w:tcPr>
          <w:p w14:paraId="1EB23F44" w14:textId="77777777" w:rsidR="00AA272E" w:rsidRPr="00AA272E" w:rsidRDefault="00AA272E" w:rsidP="00AA272E">
            <w:pPr>
              <w:spacing w:after="0" w:line="240" w:lineRule="auto"/>
              <w:rPr>
                <w:rFonts w:ascii="Calibri" w:eastAsia="Times New Roman" w:hAnsi="Calibri" w:cs="Calibri"/>
                <w:color w:val="000000"/>
                <w:kern w:val="0"/>
                <w:sz w:val="20"/>
                <w:szCs w:val="20"/>
                <w:lang w:eastAsia="en-GB"/>
                <w14:ligatures w14:val="none"/>
              </w:rPr>
            </w:pPr>
            <w:r w:rsidRPr="00AA272E">
              <w:rPr>
                <w:rFonts w:ascii="Calibri" w:eastAsia="Times New Roman" w:hAnsi="Calibri" w:cs="Calibri"/>
                <w:color w:val="000000"/>
                <w:kern w:val="0"/>
                <w:sz w:val="20"/>
                <w:szCs w:val="20"/>
                <w:lang w:eastAsia="en-GB"/>
                <w14:ligatures w14:val="none"/>
              </w:rPr>
              <w:t>Legislation ensuring the enjoyment of freedom of expression, assembly and association is in place and enforced across the country, and restrictive proposals are withdrawn [notably the draft RS law targeting CSOs as foreign agents and any similar initiatives] (</w:t>
            </w:r>
            <w:r w:rsidRPr="00AA272E">
              <w:rPr>
                <w:rFonts w:ascii="Calibri" w:eastAsia="Times New Roman" w:hAnsi="Calibri" w:cs="Calibri"/>
                <w:b/>
                <w:bCs/>
                <w:color w:val="000000"/>
                <w:kern w:val="0"/>
                <w:sz w:val="20"/>
                <w:szCs w:val="20"/>
                <w:lang w:eastAsia="en-GB"/>
                <w14:ligatures w14:val="none"/>
              </w:rPr>
              <w:t>December 2027)</w:t>
            </w:r>
          </w:p>
        </w:tc>
      </w:tr>
    </w:tbl>
    <w:p w14:paraId="7537F122" w14:textId="77777777" w:rsidR="00C42CDB" w:rsidRDefault="00C42CDB"/>
    <w:sectPr w:rsidR="00C42CDB" w:rsidSect="00AA27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2E"/>
    <w:rsid w:val="00444780"/>
    <w:rsid w:val="00AA272E"/>
    <w:rsid w:val="00C42CDB"/>
    <w:rsid w:val="00EE1273"/>
    <w:rsid w:val="00FC0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F98D"/>
  <w15:chartTrackingRefBased/>
  <w15:docId w15:val="{5B014DBF-E3BE-4327-8DF5-8AA4D472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72E"/>
    <w:rPr>
      <w:rFonts w:eastAsiaTheme="majorEastAsia" w:cstheme="majorBidi"/>
      <w:color w:val="272727" w:themeColor="text1" w:themeTint="D8"/>
    </w:rPr>
  </w:style>
  <w:style w:type="paragraph" w:styleId="Title">
    <w:name w:val="Title"/>
    <w:basedOn w:val="Normal"/>
    <w:next w:val="Normal"/>
    <w:link w:val="TitleChar"/>
    <w:uiPriority w:val="10"/>
    <w:qFormat/>
    <w:rsid w:val="00AA2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72E"/>
    <w:pPr>
      <w:spacing w:before="160"/>
      <w:jc w:val="center"/>
    </w:pPr>
    <w:rPr>
      <w:i/>
      <w:iCs/>
      <w:color w:val="404040" w:themeColor="text1" w:themeTint="BF"/>
    </w:rPr>
  </w:style>
  <w:style w:type="character" w:customStyle="1" w:styleId="QuoteChar">
    <w:name w:val="Quote Char"/>
    <w:basedOn w:val="DefaultParagraphFont"/>
    <w:link w:val="Quote"/>
    <w:uiPriority w:val="29"/>
    <w:rsid w:val="00AA272E"/>
    <w:rPr>
      <w:i/>
      <w:iCs/>
      <w:color w:val="404040" w:themeColor="text1" w:themeTint="BF"/>
    </w:rPr>
  </w:style>
  <w:style w:type="paragraph" w:styleId="ListParagraph">
    <w:name w:val="List Paragraph"/>
    <w:basedOn w:val="Normal"/>
    <w:uiPriority w:val="34"/>
    <w:qFormat/>
    <w:rsid w:val="00AA272E"/>
    <w:pPr>
      <w:ind w:left="720"/>
      <w:contextualSpacing/>
    </w:pPr>
  </w:style>
  <w:style w:type="character" w:styleId="IntenseEmphasis">
    <w:name w:val="Intense Emphasis"/>
    <w:basedOn w:val="DefaultParagraphFont"/>
    <w:uiPriority w:val="21"/>
    <w:qFormat/>
    <w:rsid w:val="00AA272E"/>
    <w:rPr>
      <w:i/>
      <w:iCs/>
      <w:color w:val="0F4761" w:themeColor="accent1" w:themeShade="BF"/>
    </w:rPr>
  </w:style>
  <w:style w:type="paragraph" w:styleId="IntenseQuote">
    <w:name w:val="Intense Quote"/>
    <w:basedOn w:val="Normal"/>
    <w:next w:val="Normal"/>
    <w:link w:val="IntenseQuoteChar"/>
    <w:uiPriority w:val="30"/>
    <w:qFormat/>
    <w:rsid w:val="00AA2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72E"/>
    <w:rPr>
      <w:i/>
      <w:iCs/>
      <w:color w:val="0F4761" w:themeColor="accent1" w:themeShade="BF"/>
    </w:rPr>
  </w:style>
  <w:style w:type="character" w:styleId="IntenseReference">
    <w:name w:val="Intense Reference"/>
    <w:basedOn w:val="DefaultParagraphFont"/>
    <w:uiPriority w:val="32"/>
    <w:qFormat/>
    <w:rsid w:val="00AA272E"/>
    <w:rPr>
      <w:b/>
      <w:bCs/>
      <w:smallCaps/>
      <w:color w:val="0F4761" w:themeColor="accent1" w:themeShade="BF"/>
      <w:spacing w:val="5"/>
    </w:rPr>
  </w:style>
  <w:style w:type="character" w:styleId="Hyperlink">
    <w:name w:val="Hyperlink"/>
    <w:basedOn w:val="DefaultParagraphFont"/>
    <w:uiPriority w:val="99"/>
    <w:semiHidden/>
    <w:unhideWhenUsed/>
    <w:rsid w:val="00AA27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mina%20Mulabdic\AppData\Local\Microsoft\Windows\INetCache\Content.MSO\26E3665F.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Mulabdic</dc:creator>
  <cp:keywords/>
  <dc:description/>
  <cp:lastModifiedBy>Amina Mulabdic</cp:lastModifiedBy>
  <cp:revision>2</cp:revision>
  <dcterms:created xsi:type="dcterms:W3CDTF">2024-07-11T11:45:00Z</dcterms:created>
  <dcterms:modified xsi:type="dcterms:W3CDTF">2024-07-11T11:45:00Z</dcterms:modified>
</cp:coreProperties>
</file>